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7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w:t>
      </w:r>
    </w:p>
    <w:p>
      <w:pPr>
        <w:pStyle w:val="2"/>
        <w:keepNext w:val="0"/>
        <w:keepLines w:val="0"/>
        <w:pageBreakBefore w:val="0"/>
        <w:widowControl/>
        <w:suppressLineNumbers w:val="0"/>
        <w:suppressAutoHyphens/>
        <w:kinsoku/>
        <w:wordWrap/>
        <w:overflowPunct/>
        <w:topLinePunct w:val="0"/>
        <w:autoSpaceDE/>
        <w:autoSpaceDN/>
        <w:bidi w:val="0"/>
        <w:adjustRightInd w:val="0"/>
        <w:snapToGrid w:val="0"/>
        <w:spacing w:before="240" w:beforeAutospacing="0" w:after="240" w:afterAutospacing="0" w:line="480" w:lineRule="exact"/>
        <w:ind w:left="0" w:right="0" w:firstLine="0"/>
        <w:jc w:val="center"/>
        <w:textAlignment w:val="auto"/>
        <w:rPr>
          <w:rStyle w:val="7"/>
          <w:rFonts w:hint="eastAsia" w:ascii="方正小标宋_GBK" w:hAnsi="方正小标宋_GBK" w:eastAsia="方正小标宋_GBK" w:cs="方正小标宋_GBK"/>
          <w:b w:val="0"/>
          <w:bCs/>
          <w:i w:val="0"/>
          <w:caps w:val="0"/>
          <w:color w:val="auto"/>
          <w:spacing w:val="0"/>
          <w:kern w:val="2"/>
          <w:sz w:val="44"/>
          <w:szCs w:val="44"/>
          <w:lang w:bidi="ar-SA"/>
        </w:rPr>
      </w:pPr>
      <w:bookmarkStart w:id="0" w:name="_GoBack"/>
      <w:r>
        <w:rPr>
          <w:rStyle w:val="7"/>
          <w:rFonts w:hint="eastAsia" w:ascii="方正小标宋_GBK" w:hAnsi="方正小标宋_GBK" w:eastAsia="方正小标宋_GBK" w:cs="方正小标宋_GBK"/>
          <w:b w:val="0"/>
          <w:bCs/>
          <w:i w:val="0"/>
          <w:caps w:val="0"/>
          <w:color w:val="auto"/>
          <w:spacing w:val="0"/>
          <w:kern w:val="2"/>
          <w:sz w:val="44"/>
          <w:szCs w:val="44"/>
          <w:lang w:bidi="ar-SA"/>
        </w:rPr>
        <w:t>福建省国防动员办公室2024-2026年度</w:t>
      </w:r>
    </w:p>
    <w:p>
      <w:pPr>
        <w:pStyle w:val="2"/>
        <w:keepNext w:val="0"/>
        <w:keepLines w:val="0"/>
        <w:pageBreakBefore w:val="0"/>
        <w:widowControl/>
        <w:suppressLineNumbers w:val="0"/>
        <w:suppressAutoHyphens/>
        <w:kinsoku/>
        <w:wordWrap/>
        <w:overflowPunct/>
        <w:topLinePunct w:val="0"/>
        <w:autoSpaceDE/>
        <w:autoSpaceDN/>
        <w:bidi w:val="0"/>
        <w:adjustRightInd w:val="0"/>
        <w:snapToGrid w:val="0"/>
        <w:spacing w:before="240" w:beforeAutospacing="0" w:after="240" w:afterAutospacing="0" w:line="480" w:lineRule="exact"/>
        <w:ind w:left="0" w:right="0" w:firstLine="0"/>
        <w:jc w:val="center"/>
        <w:textAlignment w:val="auto"/>
        <w:rPr>
          <w:rStyle w:val="7"/>
          <w:rFonts w:hint="eastAsia" w:ascii="方正小标宋_GBK" w:hAnsi="方正小标宋_GBK" w:eastAsia="方正小标宋_GBK" w:cs="方正小标宋_GBK"/>
          <w:b w:val="0"/>
          <w:bCs/>
          <w:i w:val="0"/>
          <w:caps w:val="0"/>
          <w:color w:val="auto"/>
          <w:spacing w:val="0"/>
          <w:sz w:val="44"/>
          <w:szCs w:val="44"/>
        </w:rPr>
      </w:pPr>
      <w:r>
        <w:rPr>
          <w:rStyle w:val="7"/>
          <w:rFonts w:hint="eastAsia" w:ascii="方正小标宋_GBK" w:hAnsi="方正小标宋_GBK" w:eastAsia="方正小标宋_GBK" w:cs="方正小标宋_GBK"/>
          <w:b w:val="0"/>
          <w:bCs/>
          <w:i w:val="0"/>
          <w:caps w:val="0"/>
          <w:color w:val="auto"/>
          <w:spacing w:val="0"/>
          <w:kern w:val="2"/>
          <w:sz w:val="44"/>
          <w:szCs w:val="44"/>
          <w:lang w:bidi="ar-SA"/>
        </w:rPr>
        <w:t>网络安全保障服务内容及要求</w:t>
      </w:r>
      <w:bookmarkEnd w:id="0"/>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cs="仿宋_GB2312"/>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服务期限</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服务期限为自合同签订生效之日起2年。</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服务范围</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服务范围1：</w:t>
      </w:r>
      <w:r>
        <w:rPr>
          <w:rFonts w:hint="eastAsia" w:ascii="仿宋_GB2312" w:hAnsi="仿宋_GB2312" w:eastAsia="仿宋_GB2312" w:cs="仿宋_GB2312"/>
          <w:color w:val="auto"/>
          <w:sz w:val="32"/>
          <w:szCs w:val="32"/>
        </w:rPr>
        <w:t>福建省</w:t>
      </w:r>
      <w:r>
        <w:rPr>
          <w:rFonts w:hint="eastAsia" w:ascii="仿宋_GB2312" w:hAnsi="仿宋_GB2312" w:cs="仿宋_GB2312"/>
          <w:color w:val="auto"/>
          <w:sz w:val="32"/>
          <w:szCs w:val="32"/>
          <w:lang w:eastAsia="zh-CN"/>
        </w:rPr>
        <w:t>国防动员办公室政府</w:t>
      </w:r>
      <w:r>
        <w:rPr>
          <w:rFonts w:hint="eastAsia" w:ascii="仿宋_GB2312" w:hAnsi="仿宋_GB2312" w:eastAsia="仿宋_GB2312" w:cs="仿宋_GB2312"/>
          <w:color w:val="auto"/>
          <w:sz w:val="32"/>
          <w:szCs w:val="32"/>
        </w:rPr>
        <w:t>网站</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服务范围2：</w:t>
      </w:r>
      <w:r>
        <w:rPr>
          <w:rFonts w:hint="eastAsia" w:ascii="仿宋_GB2312" w:hAnsi="仿宋_GB2312" w:eastAsia="仿宋_GB2312" w:cs="仿宋_GB2312"/>
          <w:color w:val="auto"/>
          <w:sz w:val="32"/>
          <w:szCs w:val="32"/>
        </w:rPr>
        <w:t>福建省支前动员工作指挥系统、手机安全通信系统、财务预算综合管理平台</w:t>
      </w:r>
    </w:p>
    <w:p>
      <w:pPr>
        <w:pStyle w:val="3"/>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服务范围3：</w:t>
      </w:r>
      <w:r>
        <w:rPr>
          <w:rFonts w:hint="eastAsia" w:ascii="仿宋_GB2312" w:hAnsi="仿宋_GB2312" w:eastAsia="仿宋_GB2312" w:cs="仿宋_GB2312"/>
          <w:color w:val="auto"/>
          <w:sz w:val="32"/>
          <w:szCs w:val="32"/>
        </w:rPr>
        <w:t>安全产品</w:t>
      </w:r>
      <w:r>
        <w:rPr>
          <w:rFonts w:hint="eastAsia" w:ascii="仿宋_GB2312" w:hAnsi="仿宋_GB2312" w:cs="仿宋_GB2312"/>
          <w:color w:val="auto"/>
          <w:sz w:val="32"/>
          <w:szCs w:val="32"/>
          <w:lang w:eastAsia="zh-CN"/>
        </w:rPr>
        <w:t>维保</w:t>
      </w:r>
      <w:r>
        <w:rPr>
          <w:rFonts w:hint="eastAsia" w:ascii="仿宋_GB2312" w:hAnsi="仿宋_GB2312" w:eastAsia="仿宋_GB2312" w:cs="仿宋_GB2312"/>
          <w:color w:val="auto"/>
          <w:sz w:val="32"/>
          <w:szCs w:val="32"/>
        </w:rPr>
        <w:t>服务</w:t>
      </w:r>
    </w:p>
    <w:tbl>
      <w:tblPr>
        <w:tblStyle w:val="5"/>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279"/>
        <w:gridCol w:w="368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top"/>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1693"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设备类型</w:t>
            </w:r>
          </w:p>
        </w:tc>
        <w:tc>
          <w:tcPr>
            <w:tcW w:w="1902"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设备型号</w:t>
            </w:r>
          </w:p>
        </w:tc>
        <w:tc>
          <w:tcPr>
            <w:tcW w:w="923"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购买日期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p>
        </w:tc>
        <w:tc>
          <w:tcPr>
            <w:tcW w:w="1693"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安全网关</w:t>
            </w:r>
          </w:p>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（互联网、政务外网）</w:t>
            </w:r>
          </w:p>
        </w:tc>
        <w:tc>
          <w:tcPr>
            <w:tcW w:w="1902" w:type="pct"/>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黑盾安全网关</w:t>
            </w:r>
          </w:p>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V4.0/HD-SGS-N1-1616-9</w:t>
            </w:r>
          </w:p>
        </w:tc>
        <w:tc>
          <w:tcPr>
            <w:tcW w:w="923" w:type="pct"/>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2017/8/22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p>
        </w:tc>
        <w:tc>
          <w:tcPr>
            <w:tcW w:w="1693"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防火墙</w:t>
            </w:r>
          </w:p>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（政务信息网）</w:t>
            </w:r>
          </w:p>
        </w:tc>
        <w:tc>
          <w:tcPr>
            <w:tcW w:w="1902" w:type="pct"/>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黑盾防火墙</w:t>
            </w:r>
          </w:p>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V3.5/HD-FW-1616-9</w:t>
            </w:r>
          </w:p>
        </w:tc>
        <w:tc>
          <w:tcPr>
            <w:tcW w:w="923" w:type="pct"/>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2017/8/22</w:t>
            </w:r>
          </w:p>
        </w:tc>
      </w:tr>
    </w:tbl>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三、供应商服务资质要求</w:t>
      </w:r>
    </w:p>
    <w:p>
      <w:pPr>
        <w:pStyle w:val="8"/>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baseline"/>
        <w:rPr>
          <w:rFonts w:hint="eastAsia"/>
        </w:rPr>
      </w:pPr>
      <w:r>
        <w:rPr>
          <w:rFonts w:hint="eastAsia" w:ascii="仿宋_GB2312" w:hAnsi="仿宋_GB2312" w:cs="仿宋_GB2312"/>
          <w:color w:val="auto"/>
          <w:sz w:val="32"/>
          <w:szCs w:val="32"/>
          <w:lang w:val="en-US" w:eastAsia="zh-CN"/>
        </w:rPr>
        <w:t>供应商</w:t>
      </w:r>
      <w:r>
        <w:rPr>
          <w:rFonts w:hint="eastAsia" w:ascii="仿宋_GB2312" w:hAnsi="仿宋_GB2312" w:eastAsia="仿宋_GB2312" w:cs="仿宋_GB2312"/>
          <w:color w:val="auto"/>
          <w:sz w:val="32"/>
          <w:szCs w:val="32"/>
          <w:lang w:val="en-US" w:eastAsia="zh-CN"/>
        </w:rPr>
        <w:t>应具备</w:t>
      </w:r>
      <w:r>
        <w:rPr>
          <w:rFonts w:hint="eastAsia" w:ascii="仿宋_GB2312" w:hAnsi="仿宋_GB2312" w:cs="仿宋_GB2312"/>
          <w:color w:val="auto"/>
          <w:sz w:val="32"/>
          <w:szCs w:val="32"/>
          <w:lang w:val="en-US" w:eastAsia="zh-CN"/>
        </w:rPr>
        <w:t>与本项目服务内容相关的网络安全服务资质</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四、服务内容及要求</w:t>
      </w:r>
    </w:p>
    <w:p>
      <w:pPr>
        <w:keepNext w:val="0"/>
        <w:keepLines w:val="0"/>
        <w:pageBreakBefore w:val="0"/>
        <w:numPr>
          <w:ilvl w:val="0"/>
          <w:numId w:val="0"/>
        </w:numPr>
        <w:suppressAutoHyphens/>
        <w:kinsoku/>
        <w:overflowPunct/>
        <w:topLinePunct w:val="0"/>
        <w:autoSpaceDE/>
        <w:autoSpaceDN/>
        <w:bidi w:val="0"/>
        <w:spacing w:line="590" w:lineRule="exact"/>
        <w:textAlignment w:val="auto"/>
        <w:rPr>
          <w:rStyle w:val="7"/>
          <w:rFonts w:hint="eastAsia" w:ascii="仿宋_GB2312" w:hAnsi="仿宋_GB2312" w:eastAsia="仿宋_GB2312" w:cs="仿宋_GB2312"/>
          <w:b w:val="0"/>
          <w:bCs/>
          <w:i w:val="0"/>
          <w:caps w:val="0"/>
          <w:color w:val="auto"/>
          <w:spacing w:val="0"/>
          <w:sz w:val="32"/>
          <w:szCs w:val="32"/>
        </w:rPr>
      </w:pPr>
      <w:r>
        <w:rPr>
          <w:rStyle w:val="7"/>
          <w:rFonts w:hint="eastAsia" w:ascii="仿宋_GB2312" w:hAnsi="仿宋_GB2312" w:eastAsia="仿宋_GB2312" w:cs="仿宋_GB2312"/>
          <w:b w:val="0"/>
          <w:bCs/>
          <w:i w:val="0"/>
          <w:caps w:val="0"/>
          <w:color w:val="auto"/>
          <w:spacing w:val="0"/>
          <w:sz w:val="32"/>
          <w:szCs w:val="32"/>
        </w:rPr>
        <w:br w:type="page"/>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779"/>
        <w:gridCol w:w="1022"/>
        <w:gridCol w:w="1022"/>
        <w:gridCol w:w="3877"/>
        <w:gridCol w:w="1761"/>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391"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服务类别</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服务范围</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服务项目</w:t>
            </w:r>
          </w:p>
        </w:tc>
        <w:tc>
          <w:tcPr>
            <w:tcW w:w="1946"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服务主要内容</w:t>
            </w:r>
          </w:p>
        </w:tc>
        <w:tc>
          <w:tcPr>
            <w:tcW w:w="884"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交付成果</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服务</w:t>
            </w:r>
          </w:p>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安全测试类服务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网站安全检测服务</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web漏洞扫描服务：采用自动化检测工具与平台全面检测Web</w:t>
            </w:r>
            <w:r>
              <w:rPr>
                <w:rStyle w:val="9"/>
                <w:rFonts w:hint="eastAsia" w:ascii="宋体" w:hAnsi="宋体" w:eastAsia="宋体" w:cs="宋体"/>
                <w:color w:val="auto"/>
                <w:sz w:val="21"/>
                <w:szCs w:val="21"/>
                <w:lang w:val="en-US" w:eastAsia="zh-CN" w:bidi="ar"/>
              </w:rPr>
              <w:t>应用程序的安全性，深度挖掘程序中存在的各种漏洞和所面临的威胁。</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定期对服务范围内的网站系统进行安全检测，并提交《网站安全检测报告》</w:t>
            </w:r>
          </w:p>
        </w:tc>
        <w:tc>
          <w:tcPr>
            <w:tcW w:w="465"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漏洞深度测试服务：通过使用漏洞挖掘工具和检测平台，来测试和识别Web</w:t>
            </w:r>
            <w:r>
              <w:rPr>
                <w:rStyle w:val="9"/>
                <w:rFonts w:hint="eastAsia" w:ascii="宋体" w:hAnsi="宋体" w:eastAsia="宋体" w:cs="宋体"/>
                <w:color w:val="auto"/>
                <w:sz w:val="21"/>
                <w:szCs w:val="21"/>
                <w:lang w:val="en-US" w:eastAsia="zh-CN" w:bidi="ar"/>
              </w:rPr>
              <w:t>应用系统当前的安全漏洞和存在的安全脆弱性，全面了解和掌控</w:t>
            </w: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应用系统的安全状况。</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漏洞人工验证服务：对发现的安全漏洞进行人工验证</w:t>
            </w:r>
            <w:r>
              <w:rPr>
                <w:rStyle w:val="9"/>
                <w:rFonts w:hint="eastAsia" w:ascii="宋体" w:hAnsi="宋体" w:eastAsia="宋体" w:cs="宋体"/>
                <w:color w:val="auto"/>
                <w:sz w:val="21"/>
                <w:szCs w:val="21"/>
                <w:lang w:val="en-US" w:eastAsia="zh-CN" w:bidi="ar"/>
              </w:rPr>
              <w:t>。</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restart"/>
            <w:noWrap w:val="0"/>
            <w:vAlign w:val="center"/>
          </w:tcPr>
          <w:p>
            <w:pPr>
              <w:suppressAutoHyphens/>
              <w:bidi w:val="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服务范围2</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业务系统安全检测服务</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漏洞扫描服务：采用自动化检测工具与平台全面检测业务系统的安全性，深度挖掘程序中存在的各种漏洞和所面临的威胁。</w:t>
            </w:r>
          </w:p>
        </w:tc>
        <w:tc>
          <w:tcPr>
            <w:tcW w:w="884" w:type="pct"/>
            <w:vMerge w:val="restar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定期对服务范围内的业务系统进行安全检测，并提交</w:t>
            </w:r>
            <w:r>
              <w:rPr>
                <w:rStyle w:val="9"/>
                <w:rFonts w:hint="eastAsia" w:ascii="宋体" w:hAnsi="宋体" w:eastAsia="宋体" w:cs="宋体"/>
                <w:color w:val="auto"/>
                <w:sz w:val="21"/>
                <w:szCs w:val="21"/>
                <w:lang w:val="en-US" w:eastAsia="zh-CN" w:bidi="ar"/>
              </w:rPr>
              <w:t>《业务系统安全检测报告》</w:t>
            </w:r>
          </w:p>
        </w:tc>
        <w:tc>
          <w:tcPr>
            <w:tcW w:w="465" w:type="pct"/>
            <w:vMerge w:val="restart"/>
            <w:noWrap w:val="0"/>
            <w:vAlign w:val="center"/>
          </w:tcPr>
          <w:p>
            <w:pPr>
              <w:suppressAutoHyphens/>
              <w:bidi w:val="0"/>
              <w:jc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漏洞深度测试服务：通过使用漏洞挖掘工具和检测平台，来测试和识别业务系统当前的安全漏洞和存在的安全脆弱性，全面了解和掌控业务系统的安全状况。</w:t>
            </w:r>
          </w:p>
        </w:tc>
        <w:tc>
          <w:tcPr>
            <w:tcW w:w="884" w:type="pct"/>
            <w:vMerge w:val="continue"/>
            <w:noWrap w:val="0"/>
            <w:vAlign w:val="center"/>
          </w:tcPr>
          <w:p>
            <w:pPr>
              <w:suppressAutoHyphens/>
              <w:bidi w:val="0"/>
              <w:jc w:val="left"/>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漏洞人工验证服务：对发现的安全漏洞进行人工验证</w:t>
            </w:r>
            <w:r>
              <w:rPr>
                <w:rStyle w:val="9"/>
                <w:rFonts w:hint="eastAsia" w:ascii="宋体" w:hAnsi="宋体" w:eastAsia="宋体" w:cs="宋体"/>
                <w:color w:val="auto"/>
                <w:sz w:val="21"/>
                <w:szCs w:val="21"/>
                <w:lang w:val="en-US" w:eastAsia="zh-CN" w:bidi="ar"/>
              </w:rPr>
              <w:t>。</w:t>
            </w:r>
          </w:p>
        </w:tc>
        <w:tc>
          <w:tcPr>
            <w:tcW w:w="884" w:type="pct"/>
            <w:vMerge w:val="continue"/>
            <w:noWrap w:val="0"/>
            <w:vAlign w:val="center"/>
          </w:tcPr>
          <w:p>
            <w:pPr>
              <w:suppressAutoHyphens/>
              <w:bidi w:val="0"/>
              <w:jc w:val="left"/>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suppressAutoHyphens/>
              <w:bidi w:val="0"/>
              <w:jc w:val="center"/>
              <w:rPr>
                <w:rFonts w:hint="eastAsia" w:ascii="宋体" w:hAnsi="宋体" w:eastAsia="宋体" w:cs="宋体"/>
                <w:i w:val="0"/>
                <w:color w:val="auto"/>
                <w:sz w:val="21"/>
                <w:szCs w:val="21"/>
                <w:u w:val="none"/>
                <w:lang w:val="en-US" w:eastAsia="zh-CN"/>
              </w:rPr>
            </w:pP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lang w:val="en-US" w:eastAsia="zh-CN"/>
              </w:rPr>
              <w:t>范围1及服务范围2</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渗透测试服务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模拟黑客对目标系统进行渗透攻击，深度挖掘目标系统的漏洞与脆弱性</w:t>
            </w:r>
            <w:r>
              <w:rPr>
                <w:rStyle w:val="9"/>
                <w:rFonts w:hint="eastAsia" w:ascii="宋体" w:hAnsi="宋体" w:eastAsia="宋体" w:cs="宋体"/>
                <w:color w:val="auto"/>
                <w:sz w:val="21"/>
                <w:szCs w:val="21"/>
                <w:lang w:val="en-US" w:eastAsia="zh-CN" w:bidi="ar"/>
              </w:rPr>
              <w:t>，覆盖所有应用功能模块。</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定期对服务范围内的目标系统进行渗透测试，并提交</w:t>
            </w:r>
            <w:r>
              <w:rPr>
                <w:rStyle w:val="9"/>
                <w:rFonts w:hint="eastAsia" w:ascii="宋体" w:hAnsi="宋体" w:eastAsia="宋体" w:cs="宋体"/>
                <w:color w:val="auto"/>
                <w:sz w:val="21"/>
                <w:szCs w:val="21"/>
                <w:lang w:val="en-US" w:eastAsia="zh-CN" w:bidi="ar"/>
              </w:rPr>
              <w:t>《渗透测试服务报告》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入侵防护类服务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网站服务器入侵清查服务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网页木马查杀：</w:t>
            </w:r>
            <w:r>
              <w:rPr>
                <w:rStyle w:val="9"/>
                <w:rFonts w:hint="eastAsia" w:ascii="宋体" w:hAnsi="宋体" w:eastAsia="宋体" w:cs="宋体"/>
                <w:color w:val="auto"/>
                <w:sz w:val="21"/>
                <w:szCs w:val="21"/>
                <w:lang w:val="en-US" w:eastAsia="zh-CN" w:bidi="ar"/>
              </w:rPr>
              <w:t>针对网站源代码进行Webshell查杀，深入检查包括上传图片、文本、脚本以及其他可疑的网站后门程序。</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服务器入侵清查服务完提交《网站服务器入侵清查报告》</w:t>
            </w:r>
          </w:p>
        </w:tc>
        <w:tc>
          <w:tcPr>
            <w:tcW w:w="465" w:type="pct"/>
            <w:vMerge w:val="restart"/>
            <w:noWrap w:val="0"/>
            <w:vAlign w:val="center"/>
          </w:tcPr>
          <w:p>
            <w:pPr>
              <w:suppressAutoHyphens/>
              <w:bidi w:val="0"/>
              <w:jc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系统后门检查：网站被入侵潜伏后，通常存在隐藏比较深的系统后门（Rootkit），重点发现绕过杀毒软件的系统后门。</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7"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入侵痕迹检查：针对主机账号、启动项、进程、网络连接等进行检查。日志分析服务：根据系统层日志、安全日志、应用层日志以及其他特征发现网站入侵痕迹，避免黑客使用隐藏账户等躲避检查的安全隐患。</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安全加固类服务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服务范围1及服务范围2</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服务器系统加固</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通过对系统层漏洞检测结果的分析，对在检测中发现的系统安全问题提供安全加固建议，提高系统的整体安全性能。</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定期对服务范围内的目标系统进行安全加固服务，并提交《安全加固报告》</w:t>
            </w:r>
          </w:p>
        </w:tc>
        <w:tc>
          <w:tcPr>
            <w:tcW w:w="465" w:type="pct"/>
            <w:vMerge w:val="restart"/>
            <w:noWrap w:val="0"/>
            <w:vAlign w:val="center"/>
          </w:tcPr>
          <w:p>
            <w:pPr>
              <w:suppressAutoHyphens/>
              <w:bidi w:val="0"/>
              <w:jc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Web服务器（中间件）加固</w:t>
            </w:r>
            <w:r>
              <w:rPr>
                <w:rStyle w:val="9"/>
                <w:rFonts w:hint="eastAsia" w:ascii="宋体" w:hAnsi="宋体" w:eastAsia="宋体" w:cs="宋体"/>
                <w:color w:val="auto"/>
                <w:sz w:val="21"/>
                <w:szCs w:val="21"/>
                <w:lang w:val="en-US" w:eastAsia="zh-CN" w:bidi="ar"/>
              </w:rPr>
              <w:t>辅导</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针对Apache/IIS/Tomcat等Web应用服务器（中间件）进行配置加固</w:t>
            </w:r>
            <w:r>
              <w:rPr>
                <w:rStyle w:val="9"/>
                <w:rFonts w:hint="eastAsia" w:ascii="宋体" w:hAnsi="宋体" w:eastAsia="宋体" w:cs="宋体"/>
                <w:color w:val="auto"/>
                <w:sz w:val="21"/>
                <w:szCs w:val="21"/>
                <w:lang w:val="en-US" w:eastAsia="zh-CN" w:bidi="ar"/>
              </w:rPr>
              <w:t>辅导。</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数据库</w:t>
            </w:r>
            <w:r>
              <w:rPr>
                <w:rStyle w:val="9"/>
                <w:rFonts w:hint="eastAsia" w:ascii="宋体" w:hAnsi="宋体" w:eastAsia="宋体" w:cs="宋体"/>
                <w:color w:val="auto"/>
                <w:sz w:val="21"/>
                <w:szCs w:val="21"/>
                <w:lang w:val="en-US" w:eastAsia="zh-CN" w:bidi="ar"/>
              </w:rPr>
              <w:t>安全加固建议</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最大程度降低数据库系统（SQL Server</w:t>
            </w:r>
            <w:r>
              <w:rPr>
                <w:rStyle w:val="9"/>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Oracle</w:t>
            </w:r>
            <w:r>
              <w:rPr>
                <w:rStyle w:val="9"/>
                <w:rFonts w:hint="eastAsia" w:ascii="宋体" w:hAnsi="宋体" w:eastAsia="宋体" w:cs="宋体"/>
                <w:color w:val="auto"/>
                <w:sz w:val="21"/>
                <w:szCs w:val="21"/>
                <w:lang w:val="en-US" w:eastAsia="zh-CN" w:bidi="ar"/>
              </w:rPr>
              <w:t>等）本身的漏洞风险及加强数据库系统账号、密钥、权限等带有安全风险的配置，从而从整体上提升数据库系统的安全性。</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源代码审查及加固辅导</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发现网站存在高危漏洞，及时采取可行的源代码加固措施，协助开发商进行源代码加固。首次安全加固后，进行漏洞复查和对比，形成加固前后对比。</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安全监控类服务</w:t>
            </w:r>
          </w:p>
        </w:tc>
        <w:tc>
          <w:tcPr>
            <w:tcW w:w="513" w:type="pct"/>
            <w:vMerge w:val="restar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网站安全监控服务</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网站可用性监控服务：全年每隔5分钟一次对网站首页进行轮询探测，网站访问不到则进行告警，确保网站的可用性、安全性。</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全年通过专业的网站安全监控平台对网站进行安全监控服务并提交《安全监控报告》4份/年</w:t>
            </w:r>
          </w:p>
        </w:tc>
        <w:tc>
          <w:tcPr>
            <w:tcW w:w="465"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域名劫持监控服务：</w:t>
            </w:r>
            <w:r>
              <w:rPr>
                <w:rStyle w:val="9"/>
                <w:rFonts w:hint="eastAsia" w:ascii="宋体" w:hAnsi="宋体" w:eastAsia="宋体" w:cs="宋体"/>
                <w:color w:val="auto"/>
                <w:sz w:val="21"/>
                <w:szCs w:val="21"/>
                <w:lang w:val="en-US" w:eastAsia="zh-CN" w:bidi="ar"/>
              </w:rPr>
              <w:t>全年每隔5分钟一次对网站首页进行域名劫持探测，一旦发现域名被劫持则进行告警。</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网页挂马监控服务：每周一次</w:t>
            </w:r>
            <w:r>
              <w:rPr>
                <w:rStyle w:val="9"/>
                <w:rFonts w:hint="eastAsia" w:ascii="宋体" w:hAnsi="宋体" w:eastAsia="宋体" w:cs="宋体"/>
                <w:color w:val="auto"/>
                <w:sz w:val="21"/>
                <w:szCs w:val="21"/>
                <w:lang w:val="en-US" w:eastAsia="zh-CN" w:bidi="ar"/>
              </w:rPr>
              <w:t>采用远程监控方式对网站页面进行网页挂马分析，一旦识别到网页挂马行为，则进行告警。</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网站暗链监控服务：每周一次</w:t>
            </w:r>
            <w:r>
              <w:rPr>
                <w:rStyle w:val="9"/>
                <w:rFonts w:hint="eastAsia" w:ascii="宋体" w:hAnsi="宋体" w:eastAsia="宋体" w:cs="宋体"/>
                <w:color w:val="auto"/>
                <w:sz w:val="21"/>
                <w:szCs w:val="21"/>
                <w:lang w:val="en-US" w:eastAsia="zh-CN" w:bidi="ar"/>
              </w:rPr>
              <w:t>采用远程监控方式对网站页面进行暗链分析，一旦识别到网页存在暗链行为，则进行告警。</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敏感内容监控服务：每周一次对关键网页的敏感内容进行监控，识别网站存在政治、低俗等敏感内容情况，并告警。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采用的安全服务工具能够发现网页木马(webshell)，须同时支持对反动、赌博、色情等内容进行检查。检查的目标文件类型不限，可同时支持PHP、ASP、JSP、ASPX、JSPX等脚本类型；支持对各类威胁进行自动评分，并按照危险值从高到低进行排序；支持导出检测结果，支持对可疑文件进行批量复制或批量删除。</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网站监控人工告警服务：针对网站监控平台发现的问题，</w:t>
            </w:r>
            <w:r>
              <w:rPr>
                <w:rStyle w:val="9"/>
                <w:rFonts w:hint="eastAsia" w:ascii="宋体" w:hAnsi="宋体" w:eastAsia="宋体" w:cs="宋体"/>
                <w:color w:val="auto"/>
                <w:sz w:val="21"/>
                <w:szCs w:val="21"/>
                <w:lang w:val="en-US" w:eastAsia="zh-CN" w:bidi="ar"/>
              </w:rPr>
              <w:t>监控平台发送告警信息到监控值班人员的手机，由值班人员进行人工验证，确认为安全事件后，进行人工电话告警。</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网站安全监控报告：定期汇总安全监控情况，并提交详细的监控报告。</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安全巡检类服务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远程安全巡检服务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网站应用层的安全检测与安全加固辅导；</w:t>
            </w:r>
            <w:r>
              <w:rPr>
                <w:rStyle w:val="9"/>
                <w:rFonts w:hint="eastAsia" w:ascii="宋体" w:hAnsi="宋体" w:eastAsia="宋体" w:cs="宋体"/>
                <w:color w:val="auto"/>
                <w:sz w:val="21"/>
                <w:szCs w:val="21"/>
                <w:lang w:val="en-US" w:eastAsia="zh-CN" w:bidi="ar"/>
              </w:rPr>
              <w:t>对</w:t>
            </w: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应用进行远程漏洞扫描，测试</w:t>
            </w: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应用安全漏洞问题，并对发现漏洞进行人工验证服务。</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定期派遣专业技术人员在远程对目标信息系统进行安全巡检服务，针对远程安全巡检发现的问题提出加固建议和辅导服务，并提交《网站远程安全巡检报告》。</w:t>
            </w:r>
          </w:p>
        </w:tc>
        <w:tc>
          <w:tcPr>
            <w:tcW w:w="465"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中间件安全检测与安全优化建议；</w:t>
            </w:r>
            <w:r>
              <w:rPr>
                <w:rStyle w:val="9"/>
                <w:rFonts w:hint="eastAsia" w:ascii="宋体" w:hAnsi="宋体" w:eastAsia="宋体" w:cs="宋体"/>
                <w:color w:val="auto"/>
                <w:sz w:val="21"/>
                <w:szCs w:val="21"/>
                <w:lang w:val="en-US" w:eastAsia="zh-CN" w:bidi="ar"/>
              </w:rPr>
              <w:t>针对</w:t>
            </w:r>
            <w:r>
              <w:rPr>
                <w:rFonts w:hint="eastAsia" w:ascii="宋体" w:hAnsi="宋体" w:eastAsia="宋体" w:cs="宋体"/>
                <w:i w:val="0"/>
                <w:color w:val="auto"/>
                <w:kern w:val="0"/>
                <w:sz w:val="21"/>
                <w:szCs w:val="21"/>
                <w:u w:val="none"/>
                <w:lang w:val="en-US" w:eastAsia="zh-CN" w:bidi="ar"/>
              </w:rPr>
              <w:t>Apache/IIS/Tomcat</w:t>
            </w:r>
            <w:r>
              <w:rPr>
                <w:rStyle w:val="9"/>
                <w:rFonts w:hint="eastAsia" w:ascii="宋体" w:hAnsi="宋体" w:eastAsia="宋体" w:cs="宋体"/>
                <w:color w:val="auto"/>
                <w:sz w:val="21"/>
                <w:szCs w:val="21"/>
                <w:lang w:val="en-US" w:eastAsia="zh-CN" w:bidi="ar"/>
              </w:rPr>
              <w:t>等</w:t>
            </w: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应用服务器（中间件）进行配置加固辅导与优化。</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数据库安全检测与安全加固建议；</w:t>
            </w:r>
            <w:r>
              <w:rPr>
                <w:rStyle w:val="9"/>
                <w:rFonts w:hint="eastAsia" w:ascii="宋体" w:hAnsi="宋体" w:eastAsia="宋体" w:cs="宋体"/>
                <w:color w:val="auto"/>
                <w:sz w:val="21"/>
                <w:szCs w:val="21"/>
                <w:lang w:val="en-US" w:eastAsia="zh-CN" w:bidi="ar"/>
              </w:rPr>
              <w:t>对数据库服务器进行安全配置核查，对数据库帐号、权限、配置、审计等方面进行核查，及早发现数据库系统存在的风险，并提供安全优化建议。</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登录网站后台进行漏洞检测与安全加固辅导</w:t>
            </w:r>
            <w:r>
              <w:rPr>
                <w:rStyle w:val="9"/>
                <w:rFonts w:hint="eastAsia" w:ascii="宋体" w:hAnsi="宋体" w:eastAsia="宋体" w:cs="宋体"/>
                <w:color w:val="auto"/>
                <w:sz w:val="21"/>
                <w:szCs w:val="21"/>
                <w:lang w:val="en-US" w:eastAsia="zh-CN" w:bidi="ar"/>
              </w:rPr>
              <w:t>，并提供加固建议。</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安全保障类服务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服务范围1及服务范围2</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远程安全咨询服务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发生故障时采购人能立即以电话咨询或远程维护方式与供应商取得联系，供应商应立即给予技术协助，提供7</w:t>
            </w:r>
            <w:r>
              <w:rPr>
                <w:rStyle w:val="9"/>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24</w:t>
            </w:r>
            <w:r>
              <w:rPr>
                <w:rStyle w:val="9"/>
                <w:rFonts w:hint="eastAsia" w:ascii="宋体" w:hAnsi="宋体" w:eastAsia="宋体" w:cs="宋体"/>
                <w:color w:val="auto"/>
                <w:sz w:val="21"/>
                <w:szCs w:val="21"/>
                <w:lang w:val="en-US" w:eastAsia="zh-CN" w:bidi="ar"/>
              </w:rPr>
              <w:t>小时服务支持。</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安全咨询</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现场应急响应服务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当单位网络和信息系统遇到黑客攻击或网页篡改等恶性事件，并且远程支持无法解决时，要求2</w:t>
            </w:r>
            <w:r>
              <w:rPr>
                <w:rStyle w:val="9"/>
                <w:rFonts w:hint="eastAsia" w:ascii="宋体" w:hAnsi="宋体" w:eastAsia="宋体" w:cs="宋体"/>
                <w:color w:val="auto"/>
                <w:sz w:val="21"/>
                <w:szCs w:val="21"/>
                <w:lang w:val="en-US" w:eastAsia="zh-CN" w:bidi="ar"/>
              </w:rPr>
              <w:t>小时内到达现场，实施最有效的紧急救援及恢复补救方案。</w:t>
            </w:r>
          </w:p>
        </w:tc>
        <w:tc>
          <w:tcPr>
            <w:tcW w:w="884"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发生安全事件时提交《应急响应报告》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安全通告服务</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提供最新的安全动态、技术和安全信息，包括实时安全漏洞通知、定期安全通告汇总和安全知识库更新等。通告内容包括但不限于以下内容：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国内外最新重大漏洞、病毒安全通告；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国家安全政策及法律法规；</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同行业安全威胁事件通告；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国内外重大安全事件，新技术发展动态通告；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重大安全漏洞爆发时需结合 资产情况，提出相应修复建议。</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一年不少于6期</w:t>
            </w:r>
            <w:r>
              <w:rPr>
                <w:rStyle w:val="9"/>
                <w:rFonts w:hint="eastAsia" w:ascii="宋体" w:hAnsi="宋体" w:eastAsia="宋体" w:cs="宋体"/>
                <w:color w:val="auto"/>
                <w:sz w:val="21"/>
                <w:szCs w:val="21"/>
                <w:lang w:val="en-US" w:eastAsia="zh-CN" w:bidi="ar"/>
              </w:rPr>
              <w:t>提交《安全通告》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restart"/>
            <w:noWrap w:val="0"/>
            <w:vAlign w:val="center"/>
          </w:tcPr>
          <w:p>
            <w:pPr>
              <w:suppressAutoHyphens/>
              <w:bidi w:val="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服务范围1及服务范围2</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安全检查专题服务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安全检查协助：在</w:t>
            </w:r>
            <w:r>
              <w:rPr>
                <w:rStyle w:val="9"/>
                <w:rFonts w:hint="eastAsia" w:ascii="宋体" w:hAnsi="宋体" w:eastAsia="宋体" w:cs="宋体"/>
                <w:color w:val="auto"/>
                <w:sz w:val="21"/>
                <w:szCs w:val="21"/>
                <w:lang w:val="en-US" w:eastAsia="zh-CN" w:bidi="ar"/>
              </w:rPr>
              <w:t>上级监管部门安全检查期间，应按要求进行专门的全面安全检查协助服务和保障协助。</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安全检测报告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管理制度辅助建设：协助制定信息安全管理制度。</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安全检查相关制度</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restart"/>
            <w:noWrap w:val="0"/>
            <w:vAlign w:val="center"/>
          </w:tcPr>
          <w:p>
            <w:pPr>
              <w:suppressAutoHyphens/>
              <w:bidi w:val="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kern w:val="0"/>
                <w:sz w:val="21"/>
                <w:szCs w:val="21"/>
                <w:u w:val="none"/>
                <w:lang w:val="en-US" w:eastAsia="zh-CN" w:bidi="ar"/>
              </w:rPr>
              <w:t>应急演练</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应急演练服务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网络与信息安全应急预案：定制5个预案场景的《安全应急预案》</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《安全应急预案》</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网络与信息安全模拟应急演练：针对1个预案场景进行模拟应急演练，并提交《安全应急演练报告》</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《安全应急演练报告》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安全培训类服务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单位指定人员</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安全意识培训服务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意识现场培训服务：由安全服务工程师提供现场培训服务，培训内容包含但不限于以下方面：安全标准、政策法规解读，信息安全意识、信息安全发展方向，周期性安全服务报告解读，可定制培训内容，一次培训时长1个课时（45分钟）</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安全培训相关材料</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安全技术培训</w:t>
            </w:r>
            <w:r>
              <w:rPr>
                <w:rStyle w:val="9"/>
                <w:rFonts w:hint="eastAsia" w:ascii="宋体" w:hAnsi="宋体" w:eastAsia="宋体" w:cs="宋体"/>
                <w:color w:val="auto"/>
                <w:sz w:val="21"/>
                <w:szCs w:val="21"/>
                <w:lang w:val="en-US" w:eastAsia="zh-CN" w:bidi="ar"/>
              </w:rPr>
              <w:t>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技术现场培训服务：由安全服务工程师提供现场培训服务，培训内容包含但不限于以下方面：网站安全防护、等保安全建设、网络安全技术攻防、无线网络安全防护等，可定制培训内容，一次培训时长1个课时（45分钟）</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安全培训相关材料</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安全产品维保服务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服务范围3</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远程支持服务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服务期内，针对维保范围的产品提供远程支持服务。产品出现故障，采购人可通过电话方式，将故障情况报告给供应商。供应商工程师将对采购人提出的问题进行诊断解决。如不能通过电话解决，工程师将通过远程联机方式解决故障。</w:t>
            </w:r>
          </w:p>
        </w:tc>
        <w:tc>
          <w:tcPr>
            <w:tcW w:w="884"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现场支持服务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在服务期内，针对维保范围的产品提供现场支持服务。根据问题，通过电话交流或者远程调试无法解决的，供应商应在2小时内响应并到现场维护。</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《技术服务工单》</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系统软件版本升级</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服务期内，针对维保范围的产品提供同代系统版本升级服务。由供应商对产品系统进行配置备份。在不影响业务系统正常运行的情况下，对产品系统版本进行升级，并完成新系统的配置恢复。新系统上线后，对网络连通性和业务可用性进行测试，保证业务的正常运行。</w:t>
            </w:r>
          </w:p>
          <w:p>
            <w:pPr>
              <w:pStyle w:val="3"/>
              <w:keepNext w:val="0"/>
              <w:keepLines w:val="0"/>
              <w:pageBreakBefore w:val="0"/>
              <w:kinsoku/>
              <w:overflowPunct/>
              <w:topLinePunct w:val="0"/>
              <w:autoSpaceDE/>
              <w:autoSpaceDN/>
              <w:bidi w:val="0"/>
              <w:adjustRightInd w:val="0"/>
              <w:snapToGrid w:val="0"/>
              <w:spacing w:line="288" w:lineRule="auto"/>
              <w:ind w:firstLine="0" w:firstLineChars="0"/>
              <w:jc w:val="left"/>
              <w:textAlignment w:val="auto"/>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要求：需提供维保的安全产品原厂商授权书并加盖原厂商公章。</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《系统版本升级记录》</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产品特征库升级服务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在日常运维的过程中，根据产品的性能对安全产品的特征库进行定期升级。在可升级的版本范围内，保证特征库及时更新。</w:t>
            </w:r>
          </w:p>
          <w:p>
            <w:pPr>
              <w:pStyle w:val="8"/>
              <w:rPr>
                <w:rFonts w:hint="eastAsia"/>
              </w:rPr>
            </w:pPr>
            <w:r>
              <w:rPr>
                <w:rFonts w:hint="eastAsia" w:ascii="宋体" w:hAnsi="宋体" w:eastAsia="宋体" w:cs="宋体"/>
                <w:i w:val="0"/>
                <w:color w:val="auto"/>
                <w:kern w:val="0"/>
                <w:sz w:val="21"/>
                <w:szCs w:val="21"/>
                <w:u w:val="none"/>
                <w:lang w:val="en-US" w:eastAsia="zh-CN" w:bidi="ar"/>
              </w:rPr>
              <w:t>要求：需提供维保的安全产品原厂商授权书并加盖原厂商公章。</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《特征库升级记录》</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产品保修</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在服务期内，若维保产品出现软硬件故障，需提供免费维修服务。保障设备及业务系统的持续可用性。</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《产品故障分析报告》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备机服务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具备完善、充足的备机配件库。维保范围的产品发生故障且短时间内无法修复时，需提供备机服务。在短时间内，将备机或备件送至现场进行更换。确保业务系统的正常运行。</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《技术服务工单》</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bl>
    <w:p>
      <w:pPr>
        <w:pStyle w:val="10"/>
        <w:ind w:left="0" w:leftChars="0" w:firstLine="0"/>
        <w:rPr>
          <w:rFonts w:hint="eastAsia" w:ascii="仿宋" w:hAnsi="仿宋" w:eastAsia="仿宋"/>
          <w:b/>
          <w:color w:val="auto"/>
          <w:sz w:val="30"/>
          <w:szCs w:val="30"/>
          <w:lang w:bidi="ar"/>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E0CB5"/>
    <w:rsid w:val="4C2E0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qFormat/>
    <w:uiPriority w:val="0"/>
    <w:pPr>
      <w:widowControl w:val="0"/>
      <w:ind w:firstLine="420"/>
      <w:jc w:val="both"/>
    </w:pPr>
    <w:rPr>
      <w:rFonts w:ascii="Times New Roman" w:hAnsi="Times New Roman" w:eastAsia="仿宋_GB2312" w:cs="Times New Roman"/>
      <w:kern w:val="0"/>
      <w:sz w:val="20"/>
      <w:szCs w:val="20"/>
      <w:lang w:val="en-US" w:eastAsia="zh-CN" w:bidi="ar-SA"/>
    </w:rPr>
  </w:style>
  <w:style w:type="paragraph" w:styleId="4">
    <w:name w:val="Body Text Indent"/>
    <w:basedOn w:val="1"/>
    <w:qFormat/>
    <w:uiPriority w:val="0"/>
    <w:pPr>
      <w:spacing w:after="120"/>
      <w:ind w:left="420" w:leftChars="200"/>
    </w:pPr>
  </w:style>
  <w:style w:type="character" w:styleId="7">
    <w:name w:val="Strong"/>
    <w:qFormat/>
    <w:uiPriority w:val="0"/>
    <w:rPr>
      <w:b/>
    </w:rPr>
  </w:style>
  <w:style w:type="paragraph" w:customStyle="1" w:styleId="8">
    <w:name w:val="Fließtext"/>
    <w:qFormat/>
    <w:uiPriority w:val="0"/>
    <w:pPr>
      <w:widowControl w:val="0"/>
      <w:suppressAutoHyphens/>
      <w:overflowPunct w:val="0"/>
      <w:autoSpaceDE w:val="0"/>
      <w:autoSpaceDN w:val="0"/>
      <w:bidi w:val="0"/>
      <w:adjustRightInd w:val="0"/>
      <w:jc w:val="both"/>
      <w:textAlignment w:val="baseline"/>
    </w:pPr>
    <w:rPr>
      <w:rFonts w:ascii="Calibri" w:hAnsi="Calibri" w:eastAsia="仿宋_GB2312" w:cs="Times New Roman"/>
      <w:color w:val="auto"/>
      <w:kern w:val="28"/>
      <w:sz w:val="24"/>
      <w:szCs w:val="20"/>
      <w:lang w:val="en-US" w:eastAsia="zh-CN" w:bidi="ar-SA"/>
    </w:rPr>
  </w:style>
  <w:style w:type="character" w:customStyle="1" w:styleId="9">
    <w:name w:val="font21"/>
    <w:qFormat/>
    <w:uiPriority w:val="0"/>
    <w:rPr>
      <w:rFonts w:hint="eastAsia" w:ascii="宋体" w:hAnsi="宋体" w:eastAsia="宋体" w:cs="宋体"/>
      <w:color w:val="000000"/>
      <w:sz w:val="21"/>
      <w:szCs w:val="21"/>
      <w:u w:val="none"/>
    </w:rPr>
  </w:style>
  <w:style w:type="paragraph" w:customStyle="1" w:styleId="10">
    <w:name w:val="正文首行缩进 21"/>
    <w:basedOn w:val="4"/>
    <w:qFormat/>
    <w:uiPriority w:val="0"/>
    <w:pPr>
      <w:ind w:firstLine="420"/>
    </w:pPr>
    <w:rPr>
      <w:rFonts w:eastAsia="仿宋_GB2312" w:cs="Times New Roman"/>
      <w:kern w:val="1"/>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2024-11-06T00:29:00Z</dcterms:created>
  <dc:creator>王惺</dc:creator>
  <cp:lastModifiedBy>王惺</cp:lastModifiedBy>
  <dcterms:modified xsi:type="dcterms:W3CDTF">2024-11-06T00:31:04Z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