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40" w:lineRule="exact"/>
        <w:jc w:val="center"/>
        <w:textAlignment w:val="auto"/>
        <w:outlineLvl w:val="9"/>
        <w:rPr>
          <w:rFonts w:hint="eastAsia" w:ascii="宋体" w:hAnsi="宋体" w:cs="宋体"/>
          <w:b/>
          <w:bCs/>
          <w:color w:val="333333"/>
          <w:kern w:val="0"/>
          <w:sz w:val="36"/>
          <w:szCs w:val="36"/>
        </w:rPr>
      </w:pPr>
      <w:bookmarkStart w:id="0" w:name="_GoBack"/>
      <w:bookmarkEnd w:id="0"/>
      <w:r>
        <w:rPr>
          <w:rFonts w:hint="eastAsia" w:ascii="方正小标宋_GBK" w:hAnsi="方正小标宋_GBK" w:eastAsia="方正小标宋_GBK" w:cs="方正小标宋_GBK"/>
          <w:b w:val="0"/>
          <w:bCs w:val="0"/>
          <w:color w:val="333333"/>
          <w:kern w:val="0"/>
          <w:sz w:val="40"/>
          <w:szCs w:val="40"/>
        </w:rPr>
        <w:t>福建省人防工程监理管理规定</w:t>
      </w:r>
    </w:p>
    <w:p>
      <w:pPr>
        <w:widowControl/>
        <w:shd w:val="clear" w:color="auto" w:fill="FFFFFF"/>
        <w:spacing w:line="540" w:lineRule="exact"/>
        <w:jc w:val="center"/>
        <w:rPr>
          <w:rFonts w:ascii="宋体" w:hAnsi="宋体" w:cs="宋体"/>
          <w:color w:val="333333"/>
          <w:kern w:val="0"/>
          <w:sz w:val="32"/>
          <w:szCs w:val="32"/>
        </w:rPr>
      </w:pP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 xml:space="preserve">第一条 </w:t>
      </w:r>
      <w:r>
        <w:rPr>
          <w:rFonts w:ascii="宋体" w:hAnsi="宋体" w:cs="宋体"/>
          <w:color w:val="333333"/>
          <w:kern w:val="0"/>
          <w:sz w:val="32"/>
          <w:szCs w:val="32"/>
        </w:rPr>
        <w:t>为规范人防工程监理管理工作，保护监理、建设和施工等单位的合法权益，维护社会公共利益和市场秩序，提高防护工程建设质量和监理服务水平，根据《建设工程质量管理条例》《福建省人民防空条例》和国家人防办《人防工程监理行政许可资质管理办法》等有关法规，制定本规定。</w:t>
      </w:r>
    </w:p>
    <w:p>
      <w:pPr>
        <w:widowControl/>
        <w:shd w:val="clear" w:color="auto" w:fill="FFFFFF"/>
        <w:spacing w:line="540" w:lineRule="exact"/>
        <w:ind w:firstLine="636" w:firstLineChars="200"/>
        <w:jc w:val="both"/>
        <w:rPr>
          <w:rFonts w:hint="eastAsia" w:ascii="宋体" w:hAnsi="宋体" w:cs="宋体"/>
          <w:color w:val="333333"/>
          <w:kern w:val="0"/>
          <w:sz w:val="32"/>
          <w:szCs w:val="32"/>
          <w:lang w:eastAsia="zh-CN"/>
        </w:rPr>
      </w:pPr>
      <w:r>
        <w:rPr>
          <w:rFonts w:hint="eastAsia" w:ascii="宋体" w:hAnsi="宋体" w:cs="宋体"/>
          <w:color w:val="333333"/>
          <w:kern w:val="0"/>
          <w:sz w:val="32"/>
          <w:szCs w:val="32"/>
          <w:lang w:eastAsia="zh-CN"/>
        </w:rPr>
        <w:t>本规定所称的人防工程是指由主体工程、配套工程及地面附属设备设施用房组成，为保障人防指挥、信息、疏散、掩蔽、储备、救护等需要而单独修建的地下防护建筑，以及结合地面建筑修建的战时可用于防空的地下室。</w:t>
      </w:r>
    </w:p>
    <w:p>
      <w:pPr>
        <w:widowControl/>
        <w:shd w:val="clear" w:color="auto" w:fill="FFFFFF"/>
        <w:spacing w:line="540" w:lineRule="exact"/>
        <w:ind w:firstLine="636" w:firstLineChars="200"/>
        <w:jc w:val="both"/>
        <w:rPr>
          <w:rFonts w:hint="eastAsia" w:ascii="宋体" w:hAnsi="宋体" w:cs="宋体"/>
          <w:color w:val="333333"/>
          <w:kern w:val="0"/>
          <w:sz w:val="32"/>
          <w:szCs w:val="32"/>
          <w:lang w:eastAsia="zh-CN"/>
        </w:rPr>
      </w:pPr>
      <w:r>
        <w:rPr>
          <w:rFonts w:hint="eastAsia" w:ascii="宋体" w:hAnsi="宋体" w:cs="宋体"/>
          <w:color w:val="333333"/>
          <w:kern w:val="0"/>
          <w:sz w:val="32"/>
          <w:szCs w:val="32"/>
          <w:lang w:eastAsia="zh-CN"/>
        </w:rPr>
        <w:t>本规定所称其他人防防护设施，是指兼顾人防需要的地下工程和落实人防要求的城市重要基础设施、重要厂矿企业生产设施的防护部分。</w:t>
      </w:r>
    </w:p>
    <w:p>
      <w:pPr>
        <w:widowControl/>
        <w:shd w:val="clear" w:color="auto" w:fill="FFFFFF"/>
        <w:spacing w:line="540" w:lineRule="exact"/>
        <w:ind w:firstLine="636" w:firstLineChars="200"/>
        <w:jc w:val="both"/>
        <w:rPr>
          <w:rFonts w:hint="eastAsia" w:ascii="宋体" w:hAnsi="宋体" w:cs="宋体"/>
          <w:color w:val="333333"/>
          <w:kern w:val="0"/>
          <w:sz w:val="32"/>
          <w:szCs w:val="32"/>
          <w:lang w:val="en-US" w:eastAsia="zh-CN"/>
        </w:rPr>
      </w:pPr>
      <w:r>
        <w:rPr>
          <w:rFonts w:hint="eastAsia" w:ascii="宋体" w:hAnsi="宋体" w:cs="宋体"/>
          <w:b/>
          <w:bCs/>
          <w:color w:val="333333"/>
          <w:kern w:val="0"/>
          <w:sz w:val="32"/>
          <w:szCs w:val="32"/>
          <w:lang w:eastAsia="zh-CN"/>
        </w:rPr>
        <w:t>第二条</w:t>
      </w:r>
      <w:r>
        <w:rPr>
          <w:rFonts w:hint="eastAsia" w:ascii="宋体" w:hAnsi="宋体" w:cs="宋体"/>
          <w:color w:val="333333"/>
          <w:kern w:val="0"/>
          <w:sz w:val="32"/>
          <w:szCs w:val="32"/>
          <w:lang w:val="en-US" w:eastAsia="zh-CN"/>
        </w:rPr>
        <w:t xml:space="preserve"> 我省范围内的人防工程和其他人防防护设施新建、扩建、改建、加固改造的监理活动，适用本规定。</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第</w:t>
      </w:r>
      <w:r>
        <w:rPr>
          <w:rFonts w:hint="eastAsia" w:ascii="宋体" w:hAnsi="宋体" w:cs="宋体"/>
          <w:b/>
          <w:bCs/>
          <w:color w:val="333333"/>
          <w:kern w:val="0"/>
          <w:sz w:val="32"/>
          <w:szCs w:val="32"/>
          <w:lang w:eastAsia="zh-CN"/>
        </w:rPr>
        <w:t>三</w:t>
      </w:r>
      <w:r>
        <w:rPr>
          <w:rFonts w:ascii="宋体" w:hAnsi="宋体" w:cs="宋体"/>
          <w:b/>
          <w:bCs/>
          <w:color w:val="333333"/>
          <w:kern w:val="0"/>
          <w:sz w:val="32"/>
          <w:szCs w:val="32"/>
        </w:rPr>
        <w:t xml:space="preserve">条 </w:t>
      </w:r>
      <w:r>
        <w:rPr>
          <w:rFonts w:ascii="宋体" w:hAnsi="宋体" w:cs="宋体"/>
          <w:color w:val="333333"/>
          <w:kern w:val="0"/>
          <w:sz w:val="32"/>
          <w:szCs w:val="32"/>
        </w:rPr>
        <w:t>省人民防空主管部门负责全省人防工程建设监理活动的监督管理。市、县（市、区）人民防空主管部门负责本行政区域内人防工程建设监理活动的监督管理。</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第</w:t>
      </w:r>
      <w:r>
        <w:rPr>
          <w:rFonts w:hint="eastAsia" w:ascii="宋体" w:hAnsi="宋体" w:cs="宋体"/>
          <w:b/>
          <w:bCs/>
          <w:color w:val="333333"/>
          <w:kern w:val="0"/>
          <w:sz w:val="32"/>
          <w:szCs w:val="32"/>
          <w:lang w:eastAsia="zh-CN"/>
        </w:rPr>
        <w:t>四</w:t>
      </w:r>
      <w:r>
        <w:rPr>
          <w:rFonts w:ascii="宋体" w:hAnsi="宋体" w:cs="宋体"/>
          <w:b/>
          <w:bCs/>
          <w:color w:val="333333"/>
          <w:kern w:val="0"/>
          <w:sz w:val="32"/>
          <w:szCs w:val="32"/>
        </w:rPr>
        <w:t xml:space="preserve">条 </w:t>
      </w:r>
      <w:r>
        <w:rPr>
          <w:rFonts w:ascii="宋体" w:hAnsi="宋体" w:cs="宋体"/>
          <w:color w:val="333333"/>
          <w:kern w:val="0"/>
          <w:sz w:val="32"/>
          <w:szCs w:val="32"/>
        </w:rPr>
        <w:t>承担人防工程建设监理的单位，必须具备相应的人防工程监理资质。</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b/>
          <w:bCs/>
          <w:color w:val="333333"/>
          <w:kern w:val="0"/>
          <w:sz w:val="32"/>
          <w:szCs w:val="32"/>
        </w:rPr>
        <w:t xml:space="preserve">　　第五条 </w:t>
      </w:r>
      <w:r>
        <w:rPr>
          <w:rFonts w:ascii="宋体" w:hAnsi="宋体" w:cs="宋体"/>
          <w:color w:val="333333"/>
          <w:kern w:val="0"/>
          <w:sz w:val="32"/>
          <w:szCs w:val="32"/>
        </w:rPr>
        <w:t>人防工程监理单位资质等级分甲级、乙级、丙级三个级别。</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（一）甲级：同时具备房屋建筑工程甲级监理资质和人防工程监理乙级；具有15名以上人防工程注册监理工程师（其中土建专业12名以上，安装专业3名以上）；近5年来独立监理过3个以上抗力等级5级的人防工程。</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（二）乙级：同时具备房屋建筑工程乙级监理资质和人防工程监理丙级资质；具有10名以上人防工程注册监理工程师（其中土建8名以上，安装专业2名以上）；近5年来独立监理过3个以</w:t>
      </w:r>
      <w:r>
        <w:rPr>
          <w:rFonts w:hint="eastAsia" w:ascii="宋体" w:hAnsi="宋体" w:cs="宋体"/>
          <w:color w:val="333333"/>
          <w:kern w:val="0"/>
          <w:sz w:val="32"/>
          <w:szCs w:val="32"/>
          <w:lang w:eastAsia="zh-CN"/>
        </w:rPr>
        <w:t>上</w:t>
      </w:r>
      <w:r>
        <w:rPr>
          <w:rFonts w:ascii="宋体" w:hAnsi="宋体" w:cs="宋体"/>
          <w:color w:val="333333"/>
          <w:kern w:val="0"/>
          <w:sz w:val="32"/>
          <w:szCs w:val="32"/>
        </w:rPr>
        <w:t>的人防工程。</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（三）丙级：具备房屋建筑工程丙级监理资质；具有5名以上人防工程注册监理工程师（其中土建4名以上，安装专业1名以上）。</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b/>
          <w:bCs/>
          <w:color w:val="333333"/>
          <w:kern w:val="0"/>
          <w:sz w:val="32"/>
          <w:szCs w:val="32"/>
        </w:rPr>
        <w:t xml:space="preserve">　　第六条 </w:t>
      </w:r>
      <w:r>
        <w:rPr>
          <w:rFonts w:ascii="宋体" w:hAnsi="宋体" w:cs="宋体"/>
          <w:color w:val="333333"/>
          <w:kern w:val="0"/>
          <w:sz w:val="32"/>
          <w:szCs w:val="32"/>
        </w:rPr>
        <w:t>人防工程建设监理单位可以承担的业务范围如下：</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（一）甲级：可承担全国范围内各种抗力等级的人防工程监理业务。</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（二）乙级：可承担本省抗力等级5级及建筑面积2万平方米以下的人防工程监理业务。</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（三）丙级：可承担本省抗力等级6级及建筑面积1万平方米以下的人防工程监理业务。</w:t>
      </w:r>
    </w:p>
    <w:p>
      <w:pPr>
        <w:widowControl/>
        <w:shd w:val="clear" w:color="auto" w:fill="FFFFFF"/>
        <w:spacing w:line="540" w:lineRule="exact"/>
        <w:ind w:firstLine="636" w:firstLineChars="200"/>
        <w:jc w:val="both"/>
        <w:rPr>
          <w:rFonts w:hint="eastAsia" w:ascii="宋体" w:hAnsi="宋体" w:cs="宋体"/>
          <w:color w:val="333333"/>
          <w:kern w:val="0"/>
          <w:sz w:val="32"/>
          <w:szCs w:val="32"/>
          <w:em w:val="dot"/>
          <w:lang w:eastAsia="zh-CN"/>
        </w:rPr>
      </w:pPr>
      <w:r>
        <w:rPr>
          <w:rFonts w:ascii="宋体" w:hAnsi="宋体" w:cs="宋体"/>
          <w:b/>
          <w:bCs/>
          <w:color w:val="333333"/>
          <w:kern w:val="0"/>
          <w:sz w:val="32"/>
          <w:szCs w:val="32"/>
        </w:rPr>
        <w:t>第七条</w:t>
      </w:r>
      <w:r>
        <w:rPr>
          <w:rFonts w:hint="eastAsia" w:ascii="宋体" w:hAnsi="宋体" w:cs="宋体"/>
          <w:b/>
          <w:bCs/>
          <w:color w:val="333333"/>
          <w:kern w:val="0"/>
          <w:sz w:val="32"/>
          <w:szCs w:val="32"/>
          <w:lang w:val="en-US" w:eastAsia="zh-CN"/>
        </w:rPr>
        <w:t xml:space="preserve"> </w:t>
      </w:r>
      <w:r>
        <w:rPr>
          <w:rFonts w:ascii="宋体" w:hAnsi="宋体" w:cs="宋体"/>
          <w:color w:val="333333"/>
          <w:kern w:val="0"/>
          <w:sz w:val="32"/>
          <w:szCs w:val="32"/>
        </w:rPr>
        <w:t>申报人防工程和其他人防防护设施监理甲级许可资质的人防监理企业，可直接向国家人民防空主管部门提出申请。</w:t>
      </w:r>
      <w:r>
        <w:rPr>
          <w:rFonts w:hint="eastAsia" w:ascii="宋体" w:hAnsi="宋体" w:cs="宋体"/>
          <w:color w:val="333333"/>
          <w:kern w:val="0"/>
          <w:sz w:val="32"/>
          <w:szCs w:val="32"/>
        </w:rPr>
        <w:t>工商注册所在地</w:t>
      </w:r>
      <w:r>
        <w:rPr>
          <w:rFonts w:hint="eastAsia" w:ascii="宋体" w:hAnsi="宋体" w:cs="宋体"/>
          <w:color w:val="333333"/>
          <w:kern w:val="0"/>
          <w:sz w:val="32"/>
          <w:szCs w:val="32"/>
          <w:lang w:eastAsia="zh-CN"/>
        </w:rPr>
        <w:t>在本</w:t>
      </w:r>
      <w:r>
        <w:rPr>
          <w:rFonts w:hint="eastAsia" w:ascii="宋体" w:hAnsi="宋体" w:cs="宋体"/>
          <w:color w:val="333333"/>
          <w:kern w:val="0"/>
          <w:sz w:val="32"/>
          <w:szCs w:val="32"/>
        </w:rPr>
        <w:t>省</w:t>
      </w:r>
      <w:r>
        <w:rPr>
          <w:rFonts w:hint="eastAsia" w:ascii="宋体" w:hAnsi="宋体" w:cs="宋体"/>
          <w:color w:val="333333"/>
          <w:kern w:val="0"/>
          <w:sz w:val="32"/>
          <w:szCs w:val="32"/>
          <w:lang w:eastAsia="zh-CN"/>
        </w:rPr>
        <w:t>的监理企业</w:t>
      </w:r>
      <w:r>
        <w:rPr>
          <w:rFonts w:hint="eastAsia" w:ascii="宋体" w:hAnsi="宋体" w:cs="宋体"/>
          <w:color w:val="333333"/>
          <w:kern w:val="0"/>
          <w:sz w:val="32"/>
          <w:szCs w:val="32"/>
        </w:rPr>
        <w:t>申报人防工程和其他人防防护设施监理乙级、丙级许可资质，</w:t>
      </w:r>
      <w:r>
        <w:rPr>
          <w:rFonts w:hint="eastAsia" w:ascii="宋体" w:hAnsi="宋体" w:cs="宋体"/>
          <w:color w:val="333333"/>
          <w:kern w:val="0"/>
          <w:sz w:val="32"/>
          <w:szCs w:val="32"/>
          <w:lang w:eastAsia="zh-CN"/>
        </w:rPr>
        <w:t>直接向省</w:t>
      </w:r>
      <w:r>
        <w:rPr>
          <w:rFonts w:hint="eastAsia" w:ascii="宋体" w:hAnsi="宋体" w:cs="宋体"/>
          <w:color w:val="333333"/>
          <w:kern w:val="0"/>
          <w:sz w:val="32"/>
          <w:szCs w:val="32"/>
        </w:rPr>
        <w:t>人防主管部门提出申请</w:t>
      </w:r>
      <w:r>
        <w:rPr>
          <w:rFonts w:hint="eastAsia" w:ascii="宋体" w:hAnsi="宋体" w:cs="宋体"/>
          <w:color w:val="333333"/>
          <w:kern w:val="0"/>
          <w:sz w:val="32"/>
          <w:szCs w:val="32"/>
          <w:lang w:eastAsia="zh-CN"/>
        </w:rPr>
        <w:t>，</w:t>
      </w:r>
      <w:r>
        <w:rPr>
          <w:rFonts w:ascii="宋体" w:hAnsi="宋体" w:cs="宋体"/>
          <w:color w:val="333333"/>
          <w:kern w:val="0"/>
          <w:sz w:val="32"/>
          <w:szCs w:val="32"/>
        </w:rPr>
        <w:t>经审查合格且公示无异议的,由省人民防空主管部门颁发资质证书。</w:t>
      </w:r>
    </w:p>
    <w:p>
      <w:pPr>
        <w:widowControl/>
        <w:shd w:val="clear" w:color="auto" w:fill="FFFFFF"/>
        <w:spacing w:line="540" w:lineRule="exact"/>
        <w:ind w:firstLine="651"/>
        <w:jc w:val="both"/>
        <w:rPr>
          <w:rFonts w:ascii="宋体" w:hAnsi="宋体" w:cs="宋体"/>
          <w:color w:val="333333"/>
          <w:kern w:val="0"/>
          <w:sz w:val="32"/>
          <w:szCs w:val="32"/>
        </w:rPr>
      </w:pPr>
      <w:r>
        <w:rPr>
          <w:rFonts w:ascii="宋体" w:hAnsi="宋体" w:cs="宋体"/>
          <w:b/>
          <w:bCs/>
          <w:color w:val="333333"/>
          <w:kern w:val="0"/>
          <w:sz w:val="32"/>
          <w:szCs w:val="32"/>
        </w:rPr>
        <w:t>第</w:t>
      </w:r>
      <w:r>
        <w:rPr>
          <w:rFonts w:hint="eastAsia" w:ascii="宋体" w:hAnsi="宋体" w:cs="宋体"/>
          <w:b/>
          <w:bCs/>
          <w:color w:val="333333"/>
          <w:kern w:val="0"/>
          <w:sz w:val="32"/>
          <w:szCs w:val="32"/>
          <w:lang w:eastAsia="zh-CN"/>
        </w:rPr>
        <w:t>八</w:t>
      </w:r>
      <w:r>
        <w:rPr>
          <w:rFonts w:ascii="宋体" w:hAnsi="宋体" w:cs="宋体"/>
          <w:b/>
          <w:bCs/>
          <w:color w:val="333333"/>
          <w:kern w:val="0"/>
          <w:sz w:val="32"/>
          <w:szCs w:val="32"/>
        </w:rPr>
        <w:t xml:space="preserve">条 </w:t>
      </w:r>
      <w:r>
        <w:rPr>
          <w:rFonts w:ascii="宋体" w:hAnsi="宋体" w:cs="宋体"/>
          <w:color w:val="333333"/>
          <w:kern w:val="0"/>
          <w:sz w:val="32"/>
          <w:szCs w:val="32"/>
        </w:rPr>
        <w:t>人防工程监理资质等级需从丙级开始逐级申请。除丙级外，申报上一等级监理资质的，应满足人防工程建设监理业</w:t>
      </w:r>
    </w:p>
    <w:p>
      <w:pPr>
        <w:widowControl/>
        <w:shd w:val="clear" w:color="auto" w:fill="FFFFFF"/>
        <w:spacing w:line="540" w:lineRule="exact"/>
        <w:ind w:firstLine="0"/>
        <w:jc w:val="both"/>
        <w:rPr>
          <w:rFonts w:ascii="宋体" w:hAnsi="宋体" w:cs="宋体"/>
          <w:color w:val="333333"/>
          <w:kern w:val="0"/>
          <w:sz w:val="32"/>
          <w:szCs w:val="32"/>
        </w:rPr>
      </w:pPr>
      <w:r>
        <w:rPr>
          <w:rFonts w:ascii="宋体" w:hAnsi="宋体" w:cs="宋体"/>
          <w:color w:val="333333"/>
          <w:kern w:val="0"/>
          <w:sz w:val="32"/>
          <w:szCs w:val="32"/>
        </w:rPr>
        <w:t>绩的要求。人防工程建设监理业绩是指在现级别期间承接并完成</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的人防工程监理任务。</w:t>
      </w:r>
    </w:p>
    <w:p>
      <w:pPr>
        <w:widowControl/>
        <w:shd w:val="clear" w:color="auto" w:fill="FFFFFF"/>
        <w:spacing w:line="540" w:lineRule="exact"/>
        <w:ind w:firstLine="636" w:firstLineChars="200"/>
        <w:jc w:val="both"/>
        <w:rPr>
          <w:rFonts w:hint="eastAsia" w:ascii="宋体" w:hAnsi="宋体" w:cs="宋体"/>
          <w:color w:val="333333"/>
          <w:kern w:val="0"/>
          <w:sz w:val="32"/>
          <w:szCs w:val="32"/>
          <w:lang w:eastAsia="zh-CN"/>
        </w:rPr>
      </w:pPr>
      <w:r>
        <w:rPr>
          <w:rFonts w:ascii="宋体" w:hAnsi="宋体" w:cs="宋体"/>
          <w:b/>
          <w:bCs/>
          <w:color w:val="333333"/>
          <w:kern w:val="0"/>
          <w:sz w:val="32"/>
          <w:szCs w:val="32"/>
        </w:rPr>
        <w:t>第</w:t>
      </w:r>
      <w:r>
        <w:rPr>
          <w:rFonts w:hint="eastAsia" w:ascii="宋体" w:hAnsi="宋体" w:cs="宋体"/>
          <w:b/>
          <w:bCs/>
          <w:color w:val="333333"/>
          <w:kern w:val="0"/>
          <w:sz w:val="32"/>
          <w:szCs w:val="32"/>
          <w:lang w:eastAsia="zh-CN"/>
        </w:rPr>
        <w:t>九</w:t>
      </w:r>
      <w:r>
        <w:rPr>
          <w:rFonts w:ascii="宋体" w:hAnsi="宋体" w:cs="宋体"/>
          <w:b/>
          <w:bCs/>
          <w:color w:val="333333"/>
          <w:kern w:val="0"/>
          <w:sz w:val="32"/>
          <w:szCs w:val="32"/>
        </w:rPr>
        <w:t xml:space="preserve">条 </w:t>
      </w:r>
      <w:r>
        <w:rPr>
          <w:rFonts w:ascii="宋体" w:hAnsi="宋体" w:cs="宋体"/>
          <w:color w:val="333333"/>
          <w:kern w:val="0"/>
          <w:sz w:val="32"/>
          <w:szCs w:val="32"/>
        </w:rPr>
        <w:t>人防工程监理单位资质证书分为正本和副本，每套资质证书包括一本正本，三本副本。正副本具有同等法律效力</w:t>
      </w:r>
      <w:r>
        <w:rPr>
          <w:rFonts w:hint="eastAsia" w:ascii="宋体" w:hAnsi="宋体" w:cs="宋体"/>
          <w:color w:val="333333"/>
          <w:kern w:val="0"/>
          <w:sz w:val="32"/>
          <w:szCs w:val="32"/>
          <w:lang w:eastAsia="zh-CN"/>
        </w:rPr>
        <w:t>。</w:t>
      </w:r>
    </w:p>
    <w:p>
      <w:pPr>
        <w:widowControl/>
        <w:shd w:val="clear" w:color="auto" w:fill="FFFFFF"/>
        <w:spacing w:line="540" w:lineRule="exact"/>
        <w:ind w:firstLine="0" w:firstLineChars="0"/>
        <w:jc w:val="both"/>
        <w:rPr>
          <w:rFonts w:ascii="宋体" w:hAnsi="宋体" w:cs="宋体"/>
          <w:color w:val="333333"/>
          <w:kern w:val="0"/>
          <w:sz w:val="32"/>
          <w:szCs w:val="32"/>
        </w:rPr>
      </w:pPr>
      <w:r>
        <w:rPr>
          <w:rFonts w:ascii="宋体" w:hAnsi="宋体" w:cs="宋体"/>
          <w:color w:val="333333"/>
          <w:kern w:val="0"/>
          <w:sz w:val="32"/>
          <w:szCs w:val="32"/>
        </w:rPr>
        <w:t>人防工程监理单位资质证书的有效期为五年。</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auto"/>
          <w:kern w:val="0"/>
          <w:sz w:val="32"/>
          <w:szCs w:val="32"/>
        </w:rPr>
        <w:t>第十条</w:t>
      </w:r>
      <w:r>
        <w:rPr>
          <w:rFonts w:ascii="宋体" w:hAnsi="宋体" w:cs="宋体"/>
          <w:b/>
          <w:bCs/>
          <w:color w:val="333333"/>
          <w:kern w:val="0"/>
          <w:sz w:val="32"/>
          <w:szCs w:val="32"/>
        </w:rPr>
        <w:t xml:space="preserve"> </w:t>
      </w:r>
      <w:r>
        <w:rPr>
          <w:rFonts w:ascii="宋体" w:hAnsi="宋体" w:cs="宋体"/>
          <w:color w:val="333333"/>
          <w:kern w:val="0"/>
          <w:sz w:val="32"/>
          <w:szCs w:val="32"/>
        </w:rPr>
        <w:t>资质有效期届满，监理单位需要延续资质证书有效期时，应当在资质证书有效期届满3个月内，向</w:t>
      </w:r>
      <w:r>
        <w:rPr>
          <w:rFonts w:hint="eastAsia" w:ascii="宋体" w:hAnsi="宋体" w:cs="宋体"/>
          <w:color w:val="333333"/>
          <w:kern w:val="0"/>
          <w:sz w:val="32"/>
          <w:szCs w:val="32"/>
        </w:rPr>
        <w:t>颁发资质的人防主管部门</w:t>
      </w:r>
      <w:r>
        <w:rPr>
          <w:rFonts w:ascii="宋体" w:hAnsi="宋体" w:cs="宋体"/>
          <w:color w:val="333333"/>
          <w:kern w:val="0"/>
          <w:sz w:val="32"/>
          <w:szCs w:val="32"/>
        </w:rPr>
        <w:t>提出资质延续换证申请。逾期不申请延续的，资质证书将自动失效。</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color w:val="333333"/>
          <w:kern w:val="0"/>
          <w:sz w:val="32"/>
          <w:szCs w:val="32"/>
        </w:rPr>
        <w:t>对在资质有效期内遵守有关法律、法规、规章、技术标准，信用档案中无不良行为记录，且专业技术人员满足资质标准要求的监理单位，</w:t>
      </w:r>
      <w:r>
        <w:rPr>
          <w:rFonts w:hint="eastAsia" w:ascii="宋体" w:hAnsi="宋体" w:cs="宋体"/>
          <w:color w:val="333333"/>
          <w:kern w:val="0"/>
          <w:sz w:val="32"/>
          <w:szCs w:val="32"/>
        </w:rPr>
        <w:t>经审查合格后，有效期延续5年。</w:t>
      </w:r>
    </w:p>
    <w:p>
      <w:pPr>
        <w:widowControl/>
        <w:shd w:val="clear" w:color="auto" w:fill="FFFFFF"/>
        <w:spacing w:line="540" w:lineRule="exact"/>
        <w:ind w:firstLine="636" w:firstLineChars="200"/>
        <w:jc w:val="both"/>
        <w:rPr>
          <w:rFonts w:hint="eastAsia" w:ascii="宋体" w:hAnsi="宋体" w:cs="宋体"/>
          <w:color w:val="333333"/>
          <w:kern w:val="0"/>
          <w:sz w:val="32"/>
          <w:szCs w:val="32"/>
          <w:lang w:eastAsia="zh-CN"/>
        </w:rPr>
      </w:pPr>
      <w:r>
        <w:rPr>
          <w:rFonts w:ascii="宋体" w:hAnsi="宋体" w:cs="宋体"/>
          <w:b/>
          <w:bCs/>
          <w:color w:val="auto"/>
          <w:kern w:val="0"/>
          <w:sz w:val="32"/>
          <w:szCs w:val="32"/>
        </w:rPr>
        <w:t>第十</w:t>
      </w:r>
      <w:r>
        <w:rPr>
          <w:rFonts w:hint="eastAsia" w:ascii="宋体" w:hAnsi="宋体" w:cs="宋体"/>
          <w:b/>
          <w:bCs/>
          <w:color w:val="auto"/>
          <w:kern w:val="0"/>
          <w:sz w:val="32"/>
          <w:szCs w:val="32"/>
          <w:lang w:eastAsia="zh-CN"/>
        </w:rPr>
        <w:t>一</w:t>
      </w:r>
      <w:r>
        <w:rPr>
          <w:rFonts w:ascii="宋体" w:hAnsi="宋体" w:cs="宋体"/>
          <w:b/>
          <w:bCs/>
          <w:color w:val="auto"/>
          <w:kern w:val="0"/>
          <w:sz w:val="32"/>
          <w:szCs w:val="32"/>
        </w:rPr>
        <w:t>条</w:t>
      </w:r>
      <w:r>
        <w:rPr>
          <w:rFonts w:ascii="宋体" w:hAnsi="宋体" w:cs="宋体"/>
          <w:b/>
          <w:bCs/>
          <w:color w:val="333333"/>
          <w:kern w:val="0"/>
          <w:sz w:val="32"/>
          <w:szCs w:val="32"/>
        </w:rPr>
        <w:t xml:space="preserve"> </w:t>
      </w:r>
      <w:r>
        <w:rPr>
          <w:rFonts w:ascii="宋体" w:hAnsi="宋体" w:cs="宋体"/>
          <w:color w:val="333333"/>
          <w:kern w:val="0"/>
          <w:sz w:val="32"/>
          <w:szCs w:val="32"/>
        </w:rPr>
        <w:t>监理单位的名称发生变更的，监理单位应当向资质许可机关提交人防工程监理单位资质证书变更申请</w:t>
      </w:r>
      <w:r>
        <w:rPr>
          <w:rFonts w:hint="eastAsia" w:ascii="宋体" w:hAnsi="宋体" w:cs="宋体"/>
          <w:color w:val="333333"/>
          <w:kern w:val="0"/>
          <w:sz w:val="32"/>
          <w:szCs w:val="32"/>
          <w:lang w:eastAsia="zh-CN"/>
        </w:rPr>
        <w:t>；</w:t>
      </w:r>
      <w:r>
        <w:rPr>
          <w:rFonts w:ascii="宋体" w:hAnsi="宋体" w:cs="宋体"/>
          <w:color w:val="333333"/>
          <w:kern w:val="0"/>
          <w:sz w:val="32"/>
          <w:szCs w:val="32"/>
        </w:rPr>
        <w:t>监理单位的地址、法定代表人等工商注册事项发生变更的，监理单位应当</w:t>
      </w:r>
      <w:r>
        <w:rPr>
          <w:rFonts w:hint="eastAsia" w:ascii="宋体" w:hAnsi="宋体" w:cs="宋体"/>
          <w:color w:val="333333"/>
          <w:kern w:val="0"/>
          <w:sz w:val="32"/>
          <w:szCs w:val="32"/>
          <w:lang w:eastAsia="zh-CN"/>
        </w:rPr>
        <w:t>向相应的人民防空主管部门</w:t>
      </w:r>
      <w:r>
        <w:rPr>
          <w:rFonts w:ascii="宋体" w:hAnsi="宋体" w:cs="宋体"/>
          <w:color w:val="333333"/>
          <w:kern w:val="0"/>
          <w:sz w:val="32"/>
          <w:szCs w:val="32"/>
        </w:rPr>
        <w:t>提交人防工程监理单位资质证书变更申请</w:t>
      </w:r>
      <w:r>
        <w:rPr>
          <w:rFonts w:hint="eastAsia" w:ascii="宋体" w:hAnsi="宋体" w:cs="宋体"/>
          <w:color w:val="333333"/>
          <w:kern w:val="0"/>
          <w:sz w:val="32"/>
          <w:szCs w:val="32"/>
          <w:lang w:eastAsia="zh-CN"/>
        </w:rPr>
        <w:t>。</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第十</w:t>
      </w:r>
      <w:r>
        <w:rPr>
          <w:rFonts w:hint="eastAsia" w:ascii="宋体" w:hAnsi="宋体" w:cs="宋体"/>
          <w:b/>
          <w:bCs/>
          <w:color w:val="333333"/>
          <w:kern w:val="0"/>
          <w:sz w:val="32"/>
          <w:szCs w:val="32"/>
          <w:lang w:eastAsia="zh-CN"/>
        </w:rPr>
        <w:t>二</w:t>
      </w:r>
      <w:r>
        <w:rPr>
          <w:rFonts w:ascii="宋体" w:hAnsi="宋体" w:cs="宋体"/>
          <w:b/>
          <w:bCs/>
          <w:color w:val="333333"/>
          <w:kern w:val="0"/>
          <w:sz w:val="32"/>
          <w:szCs w:val="32"/>
        </w:rPr>
        <w:t xml:space="preserve">条 </w:t>
      </w:r>
      <w:r>
        <w:rPr>
          <w:rFonts w:ascii="宋体" w:hAnsi="宋体" w:cs="宋体"/>
          <w:color w:val="333333"/>
          <w:kern w:val="0"/>
          <w:sz w:val="32"/>
          <w:szCs w:val="32"/>
        </w:rPr>
        <w:t>人民防空主管部门履行监督检查职责时，可采取下列措施：</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（一）要求被检查单位提供人防工程监理单位资质证书、</w:t>
      </w:r>
      <w:r>
        <w:rPr>
          <w:rFonts w:hint="eastAsia" w:ascii="宋体" w:hAnsi="宋体" w:cs="宋体"/>
          <w:color w:val="333333"/>
          <w:kern w:val="0"/>
          <w:sz w:val="32"/>
          <w:szCs w:val="32"/>
        </w:rPr>
        <w:t>注册执业人员的注册执业证书</w:t>
      </w:r>
      <w:r>
        <w:rPr>
          <w:rFonts w:ascii="宋体" w:hAnsi="宋体" w:cs="宋体"/>
          <w:color w:val="333333"/>
          <w:kern w:val="0"/>
          <w:sz w:val="32"/>
          <w:szCs w:val="32"/>
        </w:rPr>
        <w:t>等相关材料，提供人防工程监理业务的文档以及相关的质量管理、安全生产管理、档案管理等文件；</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（二）进入被检查单位进行检查，查阅有关资料；</w:t>
      </w:r>
    </w:p>
    <w:p>
      <w:pPr>
        <w:widowControl/>
        <w:shd w:val="clear" w:color="auto" w:fill="FFFFFF"/>
        <w:spacing w:line="540" w:lineRule="exact"/>
        <w:ind w:firstLine="637"/>
        <w:jc w:val="both"/>
        <w:rPr>
          <w:rFonts w:ascii="宋体" w:hAnsi="宋体" w:cs="宋体"/>
          <w:color w:val="333333"/>
          <w:kern w:val="0"/>
          <w:sz w:val="32"/>
          <w:szCs w:val="32"/>
        </w:rPr>
      </w:pPr>
      <w:r>
        <w:rPr>
          <w:rFonts w:ascii="宋体" w:hAnsi="宋体" w:cs="宋体"/>
          <w:color w:val="333333"/>
          <w:kern w:val="0"/>
          <w:sz w:val="32"/>
          <w:szCs w:val="32"/>
        </w:rPr>
        <w:t>（三）纠正被检查单位违反有关法规、有关规范和技术标准的行为。</w:t>
      </w:r>
    </w:p>
    <w:p>
      <w:pPr>
        <w:widowControl/>
        <w:shd w:val="clear" w:color="auto" w:fill="FFFFFF"/>
        <w:spacing w:line="540" w:lineRule="exact"/>
        <w:ind w:firstLine="0"/>
        <w:jc w:val="both"/>
        <w:rPr>
          <w:rFonts w:ascii="宋体" w:hAnsi="宋体" w:cs="宋体"/>
          <w:color w:val="333333"/>
          <w:kern w:val="0"/>
          <w:sz w:val="32"/>
          <w:szCs w:val="32"/>
        </w:rPr>
      </w:pPr>
      <w:r>
        <w:rPr>
          <w:rFonts w:ascii="宋体" w:hAnsi="宋体" w:cs="宋体"/>
          <w:b/>
          <w:bCs/>
          <w:color w:val="333333"/>
          <w:kern w:val="0"/>
          <w:sz w:val="32"/>
          <w:szCs w:val="32"/>
        </w:rPr>
        <w:t>　　第十</w:t>
      </w:r>
      <w:r>
        <w:rPr>
          <w:rFonts w:hint="eastAsia" w:ascii="宋体" w:hAnsi="宋体" w:cs="宋体"/>
          <w:b/>
          <w:bCs/>
          <w:color w:val="333333"/>
          <w:kern w:val="0"/>
          <w:sz w:val="32"/>
          <w:szCs w:val="32"/>
          <w:lang w:eastAsia="zh-CN"/>
        </w:rPr>
        <w:t>三</w:t>
      </w:r>
      <w:r>
        <w:rPr>
          <w:rFonts w:ascii="宋体" w:hAnsi="宋体" w:cs="宋体"/>
          <w:b/>
          <w:bCs/>
          <w:color w:val="333333"/>
          <w:kern w:val="0"/>
          <w:sz w:val="32"/>
          <w:szCs w:val="32"/>
        </w:rPr>
        <w:t xml:space="preserve">条 </w:t>
      </w:r>
      <w:r>
        <w:rPr>
          <w:rFonts w:ascii="宋体" w:hAnsi="宋体" w:cs="宋体"/>
          <w:color w:val="333333"/>
          <w:kern w:val="0"/>
          <w:sz w:val="32"/>
          <w:szCs w:val="32"/>
        </w:rPr>
        <w:t>人民防空主管部门进行监督检查时，应当有两名</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以上人员参加，并出示执法证件，不得妨碍被检查单位的正常经营活动，不得索取或收受财物、谋取其他利益。</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b/>
          <w:bCs/>
          <w:color w:val="333333"/>
          <w:kern w:val="0"/>
          <w:sz w:val="32"/>
          <w:szCs w:val="32"/>
        </w:rPr>
        <w:t>　　</w:t>
      </w:r>
      <w:r>
        <w:rPr>
          <w:rFonts w:ascii="宋体" w:hAnsi="宋体" w:cs="宋体"/>
          <w:b/>
          <w:bCs/>
          <w:color w:val="auto"/>
          <w:kern w:val="0"/>
          <w:sz w:val="32"/>
          <w:szCs w:val="32"/>
        </w:rPr>
        <w:t>第十</w:t>
      </w:r>
      <w:r>
        <w:rPr>
          <w:rFonts w:hint="eastAsia" w:ascii="宋体" w:hAnsi="宋体" w:cs="宋体"/>
          <w:b/>
          <w:bCs/>
          <w:color w:val="auto"/>
          <w:kern w:val="0"/>
          <w:sz w:val="32"/>
          <w:szCs w:val="32"/>
          <w:lang w:eastAsia="zh-CN"/>
        </w:rPr>
        <w:t>四</w:t>
      </w:r>
      <w:r>
        <w:rPr>
          <w:rFonts w:ascii="宋体" w:hAnsi="宋体" w:cs="宋体"/>
          <w:b/>
          <w:bCs/>
          <w:color w:val="auto"/>
          <w:kern w:val="0"/>
          <w:sz w:val="32"/>
          <w:szCs w:val="32"/>
        </w:rPr>
        <w:t>条</w:t>
      </w:r>
      <w:r>
        <w:rPr>
          <w:rFonts w:ascii="宋体" w:hAnsi="宋体" w:cs="宋体"/>
          <w:b/>
          <w:bCs/>
          <w:color w:val="333333"/>
          <w:kern w:val="0"/>
          <w:sz w:val="32"/>
          <w:szCs w:val="32"/>
        </w:rPr>
        <w:t xml:space="preserve"> </w:t>
      </w:r>
      <w:r>
        <w:rPr>
          <w:rFonts w:ascii="宋体" w:hAnsi="宋体" w:cs="宋体"/>
          <w:color w:val="333333"/>
          <w:kern w:val="0"/>
          <w:sz w:val="32"/>
          <w:szCs w:val="32"/>
        </w:rPr>
        <w:t>人防工程监理单位应当按照“委托监理合同”的约定，根据人防工程类型、规模，配备相应的项目监理机构、监理人员和监理设施。监理机构应按不少于《人防工程项目监理机构监理人员配备标准》（附件）的要求，配备监理人员。</w:t>
      </w:r>
    </w:p>
    <w:p>
      <w:pPr>
        <w:widowControl/>
        <w:shd w:val="clear" w:color="auto" w:fill="FFFFFF"/>
        <w:spacing w:line="540" w:lineRule="exact"/>
        <w:jc w:val="both"/>
        <w:rPr>
          <w:rFonts w:hint="eastAsia" w:ascii="宋体" w:hAnsi="宋体" w:cs="宋体"/>
          <w:color w:val="333333"/>
          <w:kern w:val="0"/>
          <w:sz w:val="32"/>
          <w:szCs w:val="32"/>
        </w:rPr>
      </w:pPr>
      <w:r>
        <w:rPr>
          <w:rFonts w:ascii="宋体" w:hAnsi="宋体" w:cs="宋体"/>
          <w:b/>
          <w:bCs/>
          <w:color w:val="333333"/>
          <w:kern w:val="0"/>
          <w:sz w:val="32"/>
          <w:szCs w:val="32"/>
        </w:rPr>
        <w:t>　　第十</w:t>
      </w:r>
      <w:r>
        <w:rPr>
          <w:rFonts w:hint="eastAsia" w:ascii="宋体" w:hAnsi="宋体" w:cs="宋体"/>
          <w:b/>
          <w:bCs/>
          <w:color w:val="333333"/>
          <w:kern w:val="0"/>
          <w:sz w:val="32"/>
          <w:szCs w:val="32"/>
          <w:lang w:eastAsia="zh-CN"/>
        </w:rPr>
        <w:t>五</w:t>
      </w:r>
      <w:r>
        <w:rPr>
          <w:rFonts w:ascii="宋体" w:hAnsi="宋体" w:cs="宋体"/>
          <w:b/>
          <w:bCs/>
          <w:color w:val="333333"/>
          <w:kern w:val="0"/>
          <w:sz w:val="32"/>
          <w:szCs w:val="32"/>
        </w:rPr>
        <w:t xml:space="preserve">条 </w:t>
      </w:r>
      <w:r>
        <w:rPr>
          <w:rFonts w:hint="eastAsia" w:ascii="宋体" w:hAnsi="宋体" w:cs="宋体"/>
          <w:color w:val="333333"/>
          <w:kern w:val="0"/>
          <w:sz w:val="32"/>
          <w:szCs w:val="32"/>
        </w:rPr>
        <w:t>单建式人防工程监理单位应当编制《人防工程监理规划》和《人防工程监理实施细则》。</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hint="eastAsia" w:ascii="宋体" w:hAnsi="宋体" w:cs="宋体"/>
          <w:color w:val="333333"/>
          <w:kern w:val="0"/>
          <w:sz w:val="32"/>
          <w:szCs w:val="32"/>
        </w:rPr>
        <w:t>结合民用建筑修建的防空地下室项目，工程监理单位编制的《监理规划》和《监理实施细则》应包含防空地下室防护专项监理专篇。</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b/>
          <w:bCs/>
          <w:color w:val="333333"/>
          <w:kern w:val="0"/>
          <w:sz w:val="32"/>
          <w:szCs w:val="32"/>
        </w:rPr>
        <w:t>　　第十</w:t>
      </w:r>
      <w:r>
        <w:rPr>
          <w:rFonts w:hint="eastAsia" w:ascii="宋体" w:hAnsi="宋体" w:cs="宋体"/>
          <w:b/>
          <w:bCs/>
          <w:color w:val="333333"/>
          <w:kern w:val="0"/>
          <w:sz w:val="32"/>
          <w:szCs w:val="32"/>
          <w:lang w:eastAsia="zh-CN"/>
        </w:rPr>
        <w:t>六</w:t>
      </w:r>
      <w:r>
        <w:rPr>
          <w:rFonts w:ascii="宋体" w:hAnsi="宋体" w:cs="宋体"/>
          <w:b/>
          <w:bCs/>
          <w:color w:val="333333"/>
          <w:kern w:val="0"/>
          <w:sz w:val="32"/>
          <w:szCs w:val="32"/>
        </w:rPr>
        <w:t xml:space="preserve">条 </w:t>
      </w:r>
      <w:r>
        <w:rPr>
          <w:rFonts w:ascii="宋体" w:hAnsi="宋体" w:cs="宋体"/>
          <w:color w:val="333333"/>
          <w:kern w:val="0"/>
          <w:sz w:val="32"/>
          <w:szCs w:val="32"/>
        </w:rPr>
        <w:t>省外的人防工程建设监理单位入闽承揽业务，应根据有关规定办理入闽备案手续。</w:t>
      </w:r>
    </w:p>
    <w:p>
      <w:pPr>
        <w:widowControl/>
        <w:shd w:val="clear" w:color="auto" w:fill="FFFFFF"/>
        <w:spacing w:line="540" w:lineRule="exact"/>
        <w:ind w:firstLine="636" w:firstLineChars="200"/>
        <w:jc w:val="both"/>
        <w:rPr>
          <w:rFonts w:ascii="宋体" w:hAnsi="宋体" w:cs="宋体"/>
          <w:color w:val="333333"/>
          <w:kern w:val="0"/>
          <w:sz w:val="32"/>
          <w:szCs w:val="32"/>
          <w:em w:val="dot"/>
        </w:rPr>
      </w:pPr>
      <w:r>
        <w:rPr>
          <w:rFonts w:ascii="宋体" w:hAnsi="宋体" w:cs="宋体"/>
          <w:b/>
          <w:bCs/>
          <w:color w:val="auto"/>
          <w:kern w:val="0"/>
          <w:sz w:val="32"/>
          <w:szCs w:val="32"/>
        </w:rPr>
        <w:t>第</w:t>
      </w:r>
      <w:r>
        <w:rPr>
          <w:rFonts w:ascii="宋体" w:hAnsi="宋体" w:cs="宋体"/>
          <w:b/>
          <w:bCs/>
          <w:color w:val="333333"/>
          <w:kern w:val="0"/>
          <w:sz w:val="32"/>
          <w:szCs w:val="32"/>
        </w:rPr>
        <w:t>十</w:t>
      </w:r>
      <w:r>
        <w:rPr>
          <w:rFonts w:hint="eastAsia" w:ascii="宋体" w:hAnsi="宋体" w:cs="宋体"/>
          <w:b/>
          <w:bCs/>
          <w:color w:val="333333"/>
          <w:kern w:val="0"/>
          <w:sz w:val="32"/>
          <w:szCs w:val="32"/>
          <w:lang w:eastAsia="zh-CN"/>
        </w:rPr>
        <w:t>七</w:t>
      </w:r>
      <w:r>
        <w:rPr>
          <w:rFonts w:ascii="宋体" w:hAnsi="宋体" w:cs="宋体"/>
          <w:b/>
          <w:bCs/>
          <w:color w:val="auto"/>
          <w:kern w:val="0"/>
          <w:sz w:val="32"/>
          <w:szCs w:val="32"/>
        </w:rPr>
        <w:t>条</w:t>
      </w:r>
      <w:r>
        <w:rPr>
          <w:rFonts w:ascii="宋体" w:hAnsi="宋体" w:cs="宋体"/>
          <w:b/>
          <w:bCs/>
          <w:color w:val="333333"/>
          <w:kern w:val="0"/>
          <w:sz w:val="32"/>
          <w:szCs w:val="32"/>
        </w:rPr>
        <w:t xml:space="preserve"> </w:t>
      </w:r>
      <w:r>
        <w:rPr>
          <w:rFonts w:hint="eastAsia" w:ascii="宋体" w:hAnsi="宋体" w:cs="宋体"/>
          <w:color w:val="333333"/>
          <w:kern w:val="0"/>
          <w:sz w:val="32"/>
          <w:szCs w:val="32"/>
        </w:rPr>
        <w:t>人防工程注册监理工程师，是指具有建设行政主管部门注册监理工程师资格，经国家人防主管部门组织的人防工程监理知识培训考试合格并取得相应的资格证书，从事人防工程监理的工程师。人防工程监理员，是指经国家人防主管部门组织的人防工程监理知识培训考试合格并取得相应的资格证书，从事人防工程监理的人员。</w:t>
      </w:r>
      <w:r>
        <w:rPr>
          <w:rFonts w:ascii="宋体" w:hAnsi="宋体" w:cs="宋体"/>
          <w:color w:val="333333"/>
          <w:kern w:val="0"/>
          <w:sz w:val="32"/>
          <w:szCs w:val="32"/>
        </w:rPr>
        <w:t>省人民防空办公室建立</w:t>
      </w:r>
      <w:r>
        <w:rPr>
          <w:rFonts w:hint="eastAsia" w:ascii="宋体" w:hAnsi="宋体" w:cs="宋体"/>
          <w:color w:val="333333"/>
          <w:kern w:val="0"/>
          <w:sz w:val="32"/>
          <w:szCs w:val="32"/>
          <w:lang w:eastAsia="zh-CN"/>
        </w:rPr>
        <w:t>全省</w:t>
      </w:r>
      <w:r>
        <w:rPr>
          <w:rFonts w:hint="eastAsia" w:ascii="宋体" w:hAnsi="宋体" w:cs="宋体"/>
          <w:color w:val="333333"/>
          <w:kern w:val="0"/>
          <w:sz w:val="32"/>
          <w:szCs w:val="32"/>
        </w:rPr>
        <w:t>人防工程注册监理工程师</w:t>
      </w:r>
      <w:r>
        <w:rPr>
          <w:rFonts w:hint="eastAsia" w:ascii="宋体" w:hAnsi="宋体" w:cs="宋体"/>
          <w:color w:val="333333"/>
          <w:kern w:val="0"/>
          <w:sz w:val="32"/>
          <w:szCs w:val="32"/>
          <w:lang w:eastAsia="zh-CN"/>
        </w:rPr>
        <w:t>、</w:t>
      </w:r>
      <w:r>
        <w:rPr>
          <w:rFonts w:hint="eastAsia" w:ascii="宋体" w:hAnsi="宋体" w:cs="宋体"/>
          <w:color w:val="333333"/>
          <w:kern w:val="0"/>
          <w:sz w:val="32"/>
          <w:szCs w:val="32"/>
        </w:rPr>
        <w:t>人防工程监理员</w:t>
      </w:r>
      <w:r>
        <w:rPr>
          <w:rFonts w:ascii="宋体" w:hAnsi="宋体" w:cs="宋体"/>
          <w:color w:val="333333"/>
          <w:kern w:val="0"/>
          <w:sz w:val="32"/>
          <w:szCs w:val="32"/>
        </w:rPr>
        <w:t>数据库，</w:t>
      </w:r>
      <w:r>
        <w:rPr>
          <w:rFonts w:hint="eastAsia" w:ascii="宋体" w:hAnsi="宋体" w:cs="宋体"/>
          <w:color w:val="333333"/>
          <w:kern w:val="0"/>
          <w:sz w:val="32"/>
          <w:szCs w:val="32"/>
          <w:lang w:eastAsia="zh-CN"/>
        </w:rPr>
        <w:t>我省</w:t>
      </w:r>
      <w:r>
        <w:rPr>
          <w:rFonts w:ascii="宋体" w:hAnsi="宋体" w:cs="宋体"/>
          <w:color w:val="333333"/>
          <w:kern w:val="0"/>
          <w:sz w:val="32"/>
          <w:szCs w:val="32"/>
        </w:rPr>
        <w:t>取得人防工程注册监理工程师</w:t>
      </w:r>
      <w:r>
        <w:rPr>
          <w:rFonts w:hint="eastAsia" w:ascii="宋体" w:hAnsi="宋体" w:cs="宋体"/>
          <w:color w:val="333333"/>
          <w:kern w:val="0"/>
          <w:sz w:val="32"/>
          <w:szCs w:val="32"/>
          <w:lang w:eastAsia="zh-CN"/>
        </w:rPr>
        <w:t>、</w:t>
      </w:r>
      <w:r>
        <w:rPr>
          <w:rFonts w:hint="eastAsia" w:ascii="宋体" w:hAnsi="宋体" w:cs="宋体"/>
          <w:color w:val="333333"/>
          <w:kern w:val="0"/>
          <w:sz w:val="32"/>
          <w:szCs w:val="32"/>
        </w:rPr>
        <w:t>人防工程监理员</w:t>
      </w:r>
      <w:r>
        <w:rPr>
          <w:rFonts w:ascii="宋体" w:hAnsi="宋体" w:cs="宋体"/>
          <w:color w:val="333333"/>
          <w:kern w:val="0"/>
          <w:sz w:val="32"/>
          <w:szCs w:val="32"/>
        </w:rPr>
        <w:t>的</w:t>
      </w:r>
      <w:r>
        <w:rPr>
          <w:rFonts w:hint="eastAsia" w:ascii="宋体" w:hAnsi="宋体" w:cs="宋体"/>
          <w:color w:val="333333"/>
          <w:kern w:val="0"/>
          <w:sz w:val="32"/>
          <w:szCs w:val="32"/>
          <w:lang w:eastAsia="zh-CN"/>
        </w:rPr>
        <w:t>人员</w:t>
      </w:r>
      <w:r>
        <w:rPr>
          <w:rFonts w:ascii="宋体" w:hAnsi="宋体" w:cs="宋体"/>
          <w:color w:val="333333"/>
          <w:kern w:val="0"/>
          <w:sz w:val="32"/>
          <w:szCs w:val="32"/>
        </w:rPr>
        <w:t>，应及时报省人民防空办公室入库。</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auto"/>
          <w:kern w:val="0"/>
          <w:sz w:val="32"/>
          <w:szCs w:val="32"/>
        </w:rPr>
        <w:t>第</w:t>
      </w:r>
      <w:r>
        <w:rPr>
          <w:rFonts w:hint="eastAsia" w:ascii="宋体" w:hAnsi="宋体" w:cs="宋体"/>
          <w:b/>
          <w:bCs/>
          <w:color w:val="auto"/>
          <w:kern w:val="0"/>
          <w:sz w:val="32"/>
          <w:szCs w:val="32"/>
          <w:lang w:eastAsia="zh-CN"/>
        </w:rPr>
        <w:t>十八</w:t>
      </w:r>
      <w:r>
        <w:rPr>
          <w:rFonts w:ascii="宋体" w:hAnsi="宋体" w:cs="宋体"/>
          <w:b/>
          <w:bCs/>
          <w:color w:val="auto"/>
          <w:kern w:val="0"/>
          <w:sz w:val="32"/>
          <w:szCs w:val="32"/>
        </w:rPr>
        <w:t>条</w:t>
      </w:r>
      <w:r>
        <w:rPr>
          <w:rFonts w:ascii="宋体" w:hAnsi="宋体" w:cs="宋体"/>
          <w:b/>
          <w:bCs/>
          <w:color w:val="333333"/>
          <w:kern w:val="0"/>
          <w:sz w:val="32"/>
          <w:szCs w:val="32"/>
        </w:rPr>
        <w:t xml:space="preserve"> </w:t>
      </w:r>
      <w:r>
        <w:rPr>
          <w:rFonts w:ascii="宋体" w:hAnsi="宋体" w:cs="宋体"/>
          <w:color w:val="333333"/>
          <w:kern w:val="0"/>
          <w:sz w:val="32"/>
          <w:szCs w:val="32"/>
        </w:rPr>
        <w:t>人防工程监理单位应当具备规定数量以上的人防工程注册监理工程师。</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第</w:t>
      </w:r>
      <w:r>
        <w:rPr>
          <w:rFonts w:hint="eastAsia" w:ascii="宋体" w:hAnsi="宋体" w:cs="宋体"/>
          <w:b/>
          <w:bCs/>
          <w:color w:val="333333"/>
          <w:kern w:val="0"/>
          <w:sz w:val="32"/>
          <w:szCs w:val="32"/>
          <w:lang w:eastAsia="zh-CN"/>
        </w:rPr>
        <w:t>十九</w:t>
      </w:r>
      <w:r>
        <w:rPr>
          <w:rFonts w:ascii="宋体" w:hAnsi="宋体" w:cs="宋体"/>
          <w:b/>
          <w:bCs/>
          <w:color w:val="333333"/>
          <w:kern w:val="0"/>
          <w:sz w:val="32"/>
          <w:szCs w:val="32"/>
        </w:rPr>
        <w:t xml:space="preserve">条 </w:t>
      </w:r>
      <w:r>
        <w:rPr>
          <w:rFonts w:ascii="宋体" w:hAnsi="宋体" w:cs="宋体"/>
          <w:color w:val="333333"/>
          <w:kern w:val="0"/>
          <w:sz w:val="32"/>
          <w:szCs w:val="32"/>
        </w:rPr>
        <w:t>人防工程建设监理实行总监理工程师负责制。当</w:t>
      </w:r>
    </w:p>
    <w:p>
      <w:pPr>
        <w:widowControl/>
        <w:shd w:val="clear" w:color="auto" w:fill="FFFFFF"/>
        <w:spacing w:line="540" w:lineRule="exact"/>
        <w:ind w:firstLine="0" w:firstLineChars="0"/>
        <w:jc w:val="both"/>
        <w:rPr>
          <w:rFonts w:ascii="宋体" w:hAnsi="宋体" w:cs="宋体"/>
          <w:color w:val="333333"/>
          <w:kern w:val="0"/>
          <w:sz w:val="32"/>
          <w:szCs w:val="32"/>
        </w:rPr>
      </w:pPr>
      <w:r>
        <w:rPr>
          <w:rFonts w:ascii="宋体" w:hAnsi="宋体" w:cs="宋体"/>
          <w:color w:val="333333"/>
          <w:kern w:val="0"/>
          <w:sz w:val="32"/>
          <w:szCs w:val="32"/>
        </w:rPr>
        <w:t>总监理工程师离开施工现场时，应当</w:t>
      </w:r>
      <w:r>
        <w:rPr>
          <w:rFonts w:hint="eastAsia" w:ascii="宋体" w:hAnsi="宋体" w:cs="宋体"/>
          <w:color w:val="333333"/>
          <w:kern w:val="0"/>
          <w:sz w:val="32"/>
          <w:szCs w:val="32"/>
        </w:rPr>
        <w:t>按照《工程建设监理规范》规定</w:t>
      </w:r>
      <w:r>
        <w:rPr>
          <w:rFonts w:ascii="宋体" w:hAnsi="宋体" w:cs="宋体"/>
          <w:color w:val="333333"/>
          <w:kern w:val="0"/>
          <w:sz w:val="32"/>
          <w:szCs w:val="32"/>
        </w:rPr>
        <w:t>委托一名总监理工程师代表，代理总监理工程师行使职权。</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 xml:space="preserve">第二十条 </w:t>
      </w:r>
      <w:r>
        <w:rPr>
          <w:rFonts w:ascii="宋体" w:hAnsi="宋体" w:cs="宋体"/>
          <w:color w:val="333333"/>
          <w:kern w:val="0"/>
          <w:sz w:val="32"/>
          <w:szCs w:val="32"/>
        </w:rPr>
        <w:t>人防工程监理人员不得出卖、外借、转让和涂改人防工程注册监理工程师资格证书。</w:t>
      </w:r>
    </w:p>
    <w:p>
      <w:pPr>
        <w:widowControl/>
        <w:shd w:val="clear" w:color="auto" w:fill="FFFFFF"/>
        <w:spacing w:line="540" w:lineRule="exact"/>
        <w:ind w:firstLine="636" w:firstLineChars="200"/>
        <w:jc w:val="both"/>
        <w:rPr>
          <w:rFonts w:ascii="宋体" w:hAnsi="宋体" w:cs="宋体"/>
          <w:color w:val="333333"/>
          <w:kern w:val="0"/>
          <w:sz w:val="32"/>
          <w:szCs w:val="32"/>
        </w:rPr>
      </w:pPr>
      <w:r>
        <w:rPr>
          <w:rFonts w:ascii="宋体" w:hAnsi="宋体" w:cs="宋体"/>
          <w:b/>
          <w:bCs/>
          <w:color w:val="333333"/>
          <w:kern w:val="0"/>
          <w:sz w:val="32"/>
          <w:szCs w:val="32"/>
        </w:rPr>
        <w:t>第二十</w:t>
      </w:r>
      <w:r>
        <w:rPr>
          <w:rFonts w:hint="eastAsia" w:ascii="宋体" w:hAnsi="宋体" w:cs="宋体"/>
          <w:b/>
          <w:bCs/>
          <w:color w:val="333333"/>
          <w:kern w:val="0"/>
          <w:sz w:val="32"/>
          <w:szCs w:val="32"/>
          <w:lang w:eastAsia="zh-CN"/>
        </w:rPr>
        <w:t>一</w:t>
      </w:r>
      <w:r>
        <w:rPr>
          <w:rFonts w:ascii="宋体" w:hAnsi="宋体" w:cs="宋体"/>
          <w:b/>
          <w:bCs/>
          <w:color w:val="333333"/>
          <w:kern w:val="0"/>
          <w:sz w:val="32"/>
          <w:szCs w:val="32"/>
        </w:rPr>
        <w:t xml:space="preserve">条 </w:t>
      </w:r>
      <w:r>
        <w:rPr>
          <w:rFonts w:ascii="宋体" w:hAnsi="宋体" w:cs="宋体"/>
          <w:color w:val="333333"/>
          <w:kern w:val="0"/>
          <w:sz w:val="32"/>
          <w:szCs w:val="32"/>
        </w:rPr>
        <w:t>人民防空主管部门及其工作人员，</w:t>
      </w:r>
      <w:r>
        <w:rPr>
          <w:rFonts w:hint="eastAsia" w:ascii="宋体" w:hAnsi="宋体" w:cs="宋体"/>
          <w:color w:val="333333"/>
          <w:kern w:val="0"/>
          <w:sz w:val="32"/>
          <w:szCs w:val="32"/>
        </w:rPr>
        <w:t>在资质审批和管理工作中玩忽职守</w:t>
      </w:r>
      <w:r>
        <w:rPr>
          <w:rFonts w:hint="eastAsia" w:ascii="宋体" w:hAnsi="宋体" w:cs="宋体"/>
          <w:color w:val="333333"/>
          <w:kern w:val="0"/>
          <w:sz w:val="32"/>
          <w:szCs w:val="32"/>
          <w:lang w:eastAsia="zh-CN"/>
        </w:rPr>
        <w:t>、</w:t>
      </w:r>
      <w:r>
        <w:rPr>
          <w:rFonts w:hint="eastAsia" w:ascii="宋体" w:hAnsi="宋体" w:cs="宋体"/>
          <w:color w:val="333333"/>
          <w:kern w:val="0"/>
          <w:sz w:val="32"/>
          <w:szCs w:val="32"/>
        </w:rPr>
        <w:t>滥用职权</w:t>
      </w:r>
      <w:r>
        <w:rPr>
          <w:rFonts w:hint="eastAsia" w:ascii="宋体" w:hAnsi="宋体" w:cs="宋体"/>
          <w:color w:val="333333"/>
          <w:kern w:val="0"/>
          <w:sz w:val="32"/>
          <w:szCs w:val="32"/>
          <w:lang w:eastAsia="zh-CN"/>
        </w:rPr>
        <w:t>、</w:t>
      </w:r>
      <w:r>
        <w:rPr>
          <w:rFonts w:hint="eastAsia" w:ascii="宋体" w:hAnsi="宋体" w:cs="宋体"/>
          <w:color w:val="333333"/>
          <w:kern w:val="0"/>
          <w:sz w:val="32"/>
          <w:szCs w:val="32"/>
        </w:rPr>
        <w:t>徇私舞弊的，</w:t>
      </w:r>
      <w:r>
        <w:rPr>
          <w:rFonts w:hint="eastAsia" w:ascii="宋体" w:hAnsi="宋体" w:cs="宋体"/>
          <w:color w:val="333333"/>
          <w:kern w:val="0"/>
          <w:sz w:val="32"/>
          <w:szCs w:val="32"/>
          <w:lang w:eastAsia="zh-CN"/>
        </w:rPr>
        <w:t>或</w:t>
      </w:r>
      <w:r>
        <w:rPr>
          <w:rFonts w:ascii="宋体" w:hAnsi="宋体" w:cs="宋体"/>
          <w:color w:val="333333"/>
          <w:kern w:val="0"/>
          <w:sz w:val="32"/>
          <w:szCs w:val="32"/>
        </w:rPr>
        <w:t>有下列情形之一的，依法给予行政处分：</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（一）对不符合条件的申请人准予人防工程和其他人防防护设施监理许可资质</w:t>
      </w:r>
      <w:r>
        <w:rPr>
          <w:rFonts w:hint="eastAsia" w:ascii="宋体" w:hAnsi="宋体" w:cs="宋体"/>
          <w:color w:val="333333"/>
          <w:kern w:val="0"/>
          <w:sz w:val="32"/>
          <w:szCs w:val="32"/>
        </w:rPr>
        <w:t>审查</w:t>
      </w:r>
      <w:r>
        <w:rPr>
          <w:rFonts w:ascii="宋体" w:hAnsi="宋体" w:cs="宋体"/>
          <w:color w:val="333333"/>
          <w:kern w:val="0"/>
          <w:sz w:val="32"/>
          <w:szCs w:val="32"/>
        </w:rPr>
        <w:t>通过的；</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（二）对符合条件的申请不予受理或者未在法定期限内</w:t>
      </w:r>
      <w:r>
        <w:rPr>
          <w:rFonts w:hint="eastAsia" w:ascii="宋体" w:hAnsi="宋体" w:cs="宋体"/>
          <w:color w:val="333333"/>
          <w:kern w:val="0"/>
          <w:sz w:val="32"/>
          <w:szCs w:val="32"/>
        </w:rPr>
        <w:t>审查</w:t>
      </w:r>
      <w:r>
        <w:rPr>
          <w:rFonts w:ascii="宋体" w:hAnsi="宋体" w:cs="宋体"/>
          <w:color w:val="333333"/>
          <w:kern w:val="0"/>
          <w:sz w:val="32"/>
          <w:szCs w:val="32"/>
        </w:rPr>
        <w:t>完毕的；</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（三）利用职务上的便利，索取或者接受人防工程监理单位财物、帮助其弄虚作假或者谋取其他不正当利益的；</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（四）不依法履行管理监督职责，造成严重后果的。</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color w:val="333333"/>
          <w:kern w:val="0"/>
          <w:sz w:val="32"/>
          <w:szCs w:val="32"/>
        </w:rPr>
        <w:t>　　</w:t>
      </w:r>
      <w:r>
        <w:rPr>
          <w:rFonts w:ascii="宋体" w:hAnsi="宋体" w:cs="宋体"/>
          <w:b/>
          <w:bCs/>
          <w:color w:val="333333"/>
          <w:kern w:val="0"/>
          <w:sz w:val="32"/>
          <w:szCs w:val="32"/>
        </w:rPr>
        <w:t>第二十</w:t>
      </w:r>
      <w:r>
        <w:rPr>
          <w:rFonts w:hint="eastAsia" w:ascii="宋体" w:hAnsi="宋体" w:cs="宋体"/>
          <w:b/>
          <w:bCs/>
          <w:color w:val="333333"/>
          <w:kern w:val="0"/>
          <w:sz w:val="32"/>
          <w:szCs w:val="32"/>
          <w:lang w:eastAsia="zh-CN"/>
        </w:rPr>
        <w:t>二</w:t>
      </w:r>
      <w:r>
        <w:rPr>
          <w:rFonts w:ascii="宋体" w:hAnsi="宋体" w:cs="宋体"/>
          <w:b/>
          <w:bCs/>
          <w:color w:val="333333"/>
          <w:kern w:val="0"/>
          <w:sz w:val="32"/>
          <w:szCs w:val="32"/>
        </w:rPr>
        <w:t xml:space="preserve">条 </w:t>
      </w:r>
      <w:r>
        <w:rPr>
          <w:rFonts w:ascii="宋体" w:hAnsi="宋体" w:cs="宋体"/>
          <w:color w:val="333333"/>
          <w:kern w:val="0"/>
          <w:sz w:val="32"/>
          <w:szCs w:val="32"/>
        </w:rPr>
        <w:t>人防工程监理单位未履行义务或由于监理单位的指令错误，给建设单位造成损失的应承担相应的赔偿责任。违犯法律的，承担相应法律责任。</w:t>
      </w:r>
    </w:p>
    <w:p>
      <w:pPr>
        <w:widowControl/>
        <w:shd w:val="clear" w:color="auto" w:fill="FFFFFF"/>
        <w:spacing w:line="540" w:lineRule="exact"/>
        <w:jc w:val="both"/>
        <w:rPr>
          <w:rFonts w:ascii="宋体" w:hAnsi="宋体" w:cs="宋体"/>
          <w:color w:val="333333"/>
          <w:kern w:val="0"/>
          <w:sz w:val="32"/>
          <w:szCs w:val="32"/>
        </w:rPr>
      </w:pPr>
      <w:r>
        <w:rPr>
          <w:rFonts w:ascii="宋体" w:hAnsi="宋体" w:cs="宋体"/>
          <w:b/>
          <w:bCs/>
          <w:color w:val="333333"/>
          <w:kern w:val="0"/>
          <w:sz w:val="32"/>
          <w:szCs w:val="32"/>
        </w:rPr>
        <w:t>　　第二十</w:t>
      </w:r>
      <w:r>
        <w:rPr>
          <w:rFonts w:hint="eastAsia" w:ascii="宋体" w:hAnsi="宋体" w:cs="宋体"/>
          <w:b/>
          <w:bCs/>
          <w:color w:val="333333"/>
          <w:kern w:val="0"/>
          <w:sz w:val="32"/>
          <w:szCs w:val="32"/>
          <w:lang w:eastAsia="zh-CN"/>
        </w:rPr>
        <w:t>三</w:t>
      </w:r>
      <w:r>
        <w:rPr>
          <w:rFonts w:ascii="宋体" w:hAnsi="宋体" w:cs="宋体"/>
          <w:b/>
          <w:bCs/>
          <w:color w:val="333333"/>
          <w:kern w:val="0"/>
          <w:sz w:val="32"/>
          <w:szCs w:val="32"/>
        </w:rPr>
        <w:t xml:space="preserve">条 </w:t>
      </w:r>
      <w:r>
        <w:rPr>
          <w:rFonts w:ascii="宋体" w:hAnsi="宋体" w:cs="宋体"/>
          <w:color w:val="333333"/>
          <w:kern w:val="0"/>
          <w:sz w:val="32"/>
          <w:szCs w:val="32"/>
        </w:rPr>
        <w:t>本规定由福建省人民防空主管部门负责解释。</w:t>
      </w:r>
    </w:p>
    <w:p>
      <w:pPr>
        <w:widowControl/>
        <w:shd w:val="clear" w:color="auto" w:fill="FFFFFF"/>
        <w:spacing w:line="540" w:lineRule="exact"/>
        <w:jc w:val="both"/>
        <w:rPr>
          <w:rFonts w:ascii="宋体" w:hAnsi="宋体" w:cs="宋体"/>
          <w:color w:val="333333"/>
          <w:kern w:val="0"/>
          <w:sz w:val="24"/>
          <w:szCs w:val="24"/>
        </w:rPr>
      </w:pPr>
      <w:r>
        <w:rPr>
          <w:rFonts w:ascii="宋体" w:hAnsi="宋体" w:cs="宋体"/>
          <w:b/>
          <w:bCs/>
          <w:color w:val="333333"/>
          <w:kern w:val="0"/>
          <w:sz w:val="32"/>
          <w:szCs w:val="32"/>
        </w:rPr>
        <w:t>　　</w:t>
      </w:r>
      <w:r>
        <w:rPr>
          <w:rFonts w:ascii="宋体" w:hAnsi="宋体" w:cs="宋体"/>
          <w:b/>
          <w:bCs/>
          <w:color w:val="auto"/>
          <w:kern w:val="0"/>
          <w:sz w:val="32"/>
          <w:szCs w:val="32"/>
        </w:rPr>
        <w:t>第二十</w:t>
      </w:r>
      <w:r>
        <w:rPr>
          <w:rFonts w:hint="eastAsia" w:ascii="宋体" w:hAnsi="宋体" w:cs="宋体"/>
          <w:b/>
          <w:bCs/>
          <w:color w:val="auto"/>
          <w:kern w:val="0"/>
          <w:sz w:val="32"/>
          <w:szCs w:val="32"/>
          <w:lang w:eastAsia="zh-CN"/>
        </w:rPr>
        <w:t>四</w:t>
      </w:r>
      <w:r>
        <w:rPr>
          <w:rFonts w:ascii="宋体" w:hAnsi="宋体" w:cs="宋体"/>
          <w:b/>
          <w:bCs/>
          <w:color w:val="auto"/>
          <w:kern w:val="0"/>
          <w:sz w:val="32"/>
          <w:szCs w:val="32"/>
        </w:rPr>
        <w:t>条</w:t>
      </w:r>
      <w:r>
        <w:rPr>
          <w:rFonts w:ascii="宋体" w:hAnsi="宋体" w:cs="宋体"/>
          <w:b/>
          <w:bCs/>
          <w:color w:val="333333"/>
          <w:kern w:val="0"/>
          <w:sz w:val="32"/>
          <w:szCs w:val="32"/>
        </w:rPr>
        <w:t xml:space="preserve"> </w:t>
      </w:r>
      <w:r>
        <w:rPr>
          <w:rFonts w:ascii="宋体" w:hAnsi="宋体" w:cs="宋体"/>
          <w:color w:val="333333"/>
          <w:kern w:val="0"/>
          <w:sz w:val="32"/>
          <w:szCs w:val="32"/>
        </w:rPr>
        <w:t>本规定自颁布之日起施行。</w:t>
      </w:r>
      <w:r>
        <w:rPr>
          <w:rFonts w:hint="eastAsia" w:ascii="宋体" w:hAnsi="宋体" w:cs="宋体"/>
          <w:color w:val="333333"/>
          <w:kern w:val="0"/>
          <w:sz w:val="32"/>
          <w:szCs w:val="32"/>
          <w:lang w:eastAsia="zh-CN"/>
        </w:rPr>
        <w:t>原</w:t>
      </w:r>
      <w:r>
        <w:rPr>
          <w:rFonts w:ascii="宋体" w:hAnsi="宋体" w:cs="宋体"/>
          <w:color w:val="333333"/>
          <w:kern w:val="0"/>
          <w:sz w:val="32"/>
          <w:szCs w:val="32"/>
        </w:rPr>
        <w:t>《福建省人防工程监理管理规定》（闽人防办〔201</w:t>
      </w:r>
      <w:r>
        <w:rPr>
          <w:rFonts w:hint="eastAsia" w:ascii="宋体" w:hAnsi="宋体" w:cs="宋体"/>
          <w:color w:val="333333"/>
          <w:kern w:val="0"/>
          <w:sz w:val="32"/>
          <w:szCs w:val="32"/>
          <w:lang w:val="en-US" w:eastAsia="zh-CN"/>
        </w:rPr>
        <w:t>7</w:t>
      </w:r>
      <w:r>
        <w:rPr>
          <w:rFonts w:ascii="宋体" w:hAnsi="宋体" w:cs="宋体"/>
          <w:color w:val="333333"/>
          <w:kern w:val="0"/>
          <w:sz w:val="32"/>
          <w:szCs w:val="32"/>
        </w:rPr>
        <w:t>〕</w:t>
      </w:r>
      <w:r>
        <w:rPr>
          <w:rFonts w:hint="eastAsia" w:ascii="宋体" w:hAnsi="宋体" w:cs="宋体"/>
          <w:color w:val="333333"/>
          <w:kern w:val="0"/>
          <w:sz w:val="32"/>
          <w:szCs w:val="32"/>
          <w:lang w:val="en-US" w:eastAsia="zh-CN"/>
        </w:rPr>
        <w:t>93</w:t>
      </w:r>
      <w:r>
        <w:rPr>
          <w:rFonts w:ascii="宋体" w:hAnsi="宋体" w:cs="宋体"/>
          <w:color w:val="333333"/>
          <w:kern w:val="0"/>
          <w:sz w:val="32"/>
          <w:szCs w:val="32"/>
        </w:rPr>
        <w:t>号）即行废止。</w:t>
      </w:r>
      <w:r>
        <w:rPr>
          <w:rFonts w:ascii="宋体" w:hAnsi="宋体" w:cs="宋体"/>
          <w:color w:val="333333"/>
          <w:kern w:val="0"/>
          <w:sz w:val="24"/>
          <w:szCs w:val="24"/>
        </w:rPr>
        <w:t>　　　　</w:t>
      </w:r>
    </w:p>
    <w:p>
      <w:pPr>
        <w:rPr>
          <w:rFonts w:hint="eastAsia" w:ascii="楷体_GB2312" w:eastAsia="楷体_GB2312"/>
          <w:b/>
        </w:rPr>
      </w:pPr>
      <w:r>
        <w:rPr>
          <w:rFonts w:hint="eastAsia"/>
          <w:sz w:val="24"/>
          <w:szCs w:val="24"/>
        </w:rPr>
        <w:br w:type="page"/>
      </w:r>
      <w:r>
        <w:rPr>
          <w:rFonts w:hint="eastAsia" w:ascii="黑体" w:eastAsia="黑体"/>
          <w:b w:val="0"/>
          <w:sz w:val="32"/>
          <w:szCs w:val="32"/>
        </w:rPr>
        <w:t>附件</w:t>
      </w:r>
    </w:p>
    <w:p>
      <w:pPr>
        <w:spacing w:after="304" w:afterLines="50"/>
        <w:jc w:val="center"/>
        <w:rPr>
          <w:rFonts w:hint="eastAsia" w:ascii="方正小标宋_GBK" w:hAnsi="方正小标宋_GBK" w:eastAsia="方正小标宋_GBK" w:cs="方正小标宋_GBK"/>
          <w:b w:val="0"/>
          <w:bCs w:val="0"/>
          <w:sz w:val="40"/>
          <w:szCs w:val="40"/>
        </w:rPr>
      </w:pPr>
      <w:r>
        <w:rPr>
          <w:rFonts w:hint="eastAsia" w:ascii="方正小标宋_GBK" w:hAnsi="方正小标宋_GBK" w:eastAsia="方正小标宋_GBK" w:cs="方正小标宋_GBK"/>
          <w:b w:val="0"/>
          <w:bCs w:val="0"/>
          <w:sz w:val="40"/>
          <w:szCs w:val="40"/>
        </w:rPr>
        <w:t>人防工程项目监理机构监理人员配备标准</w:t>
      </w: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98"/>
        <w:gridCol w:w="2487"/>
        <w:gridCol w:w="795"/>
        <w:gridCol w:w="795"/>
        <w:gridCol w:w="823"/>
        <w:gridCol w:w="32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1098" w:type="dxa"/>
            <w:vMerge w:val="restart"/>
            <w:tcBorders>
              <w:top w:val="single" w:color="auto" w:sz="12" w:space="0"/>
              <w:left w:val="single" w:color="auto" w:sz="12" w:space="0"/>
            </w:tcBorders>
            <w:vAlign w:val="center"/>
          </w:tcPr>
          <w:p>
            <w:pPr>
              <w:jc w:val="center"/>
              <w:rPr>
                <w:rFonts w:hint="eastAsia" w:ascii="宋体" w:eastAsia="宋体" w:cs="Arial"/>
                <w:kern w:val="0"/>
                <w:sz w:val="28"/>
                <w:szCs w:val="28"/>
                <w:lang w:bidi="ar-SA"/>
              </w:rPr>
            </w:pPr>
            <w:r>
              <w:rPr>
                <w:rFonts w:hint="eastAsia" w:ascii="宋体" w:eastAsia="宋体" w:cs="Arial"/>
                <w:kern w:val="0"/>
                <w:sz w:val="28"/>
                <w:szCs w:val="28"/>
                <w:lang w:bidi="ar-SA"/>
              </w:rPr>
              <w:t>工程</w:t>
            </w:r>
          </w:p>
          <w:p>
            <w:pPr>
              <w:jc w:val="center"/>
              <w:rPr>
                <w:rFonts w:hint="eastAsia" w:ascii="宋体" w:eastAsia="宋体"/>
                <w:sz w:val="28"/>
                <w:szCs w:val="28"/>
              </w:rPr>
            </w:pPr>
            <w:r>
              <w:rPr>
                <w:rFonts w:hint="eastAsia" w:ascii="宋体" w:eastAsia="宋体" w:cs="Arial"/>
                <w:kern w:val="0"/>
                <w:sz w:val="28"/>
                <w:szCs w:val="28"/>
                <w:lang w:bidi="ar-SA"/>
              </w:rPr>
              <w:t>类型</w:t>
            </w:r>
          </w:p>
        </w:tc>
        <w:tc>
          <w:tcPr>
            <w:tcW w:w="2487" w:type="dxa"/>
            <w:vMerge w:val="restart"/>
            <w:tcBorders>
              <w:top w:val="single" w:color="auto" w:sz="1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工程规模</w:t>
            </w:r>
          </w:p>
        </w:tc>
        <w:tc>
          <w:tcPr>
            <w:tcW w:w="2413" w:type="dxa"/>
            <w:gridSpan w:val="3"/>
            <w:tcBorders>
              <w:top w:val="single" w:color="auto" w:sz="12" w:space="0"/>
              <w:bottom w:val="single" w:color="auto" w:sz="2" w:space="0"/>
              <w:right w:val="single" w:color="auto" w:sz="2" w:space="0"/>
            </w:tcBorders>
            <w:vAlign w:val="center"/>
          </w:tcPr>
          <w:p>
            <w:pPr>
              <w:spacing w:line="400" w:lineRule="exact"/>
              <w:jc w:val="center"/>
              <w:rPr>
                <w:rFonts w:hint="eastAsia" w:ascii="宋体" w:eastAsia="宋体" w:cs="Arial"/>
                <w:kern w:val="0"/>
                <w:sz w:val="28"/>
                <w:szCs w:val="28"/>
                <w:lang w:bidi="ar-SA"/>
              </w:rPr>
            </w:pPr>
            <w:r>
              <w:rPr>
                <w:rFonts w:hint="eastAsia" w:ascii="宋体" w:eastAsia="宋体" w:cs="Arial"/>
                <w:kern w:val="0"/>
                <w:sz w:val="28"/>
                <w:szCs w:val="28"/>
                <w:lang w:bidi="ar-SA"/>
              </w:rPr>
              <w:t>施工阶段监理</w:t>
            </w:r>
          </w:p>
          <w:p>
            <w:pPr>
              <w:spacing w:line="400" w:lineRule="exact"/>
              <w:jc w:val="center"/>
              <w:rPr>
                <w:rFonts w:hint="eastAsia" w:ascii="宋体" w:eastAsia="宋体"/>
                <w:sz w:val="28"/>
                <w:szCs w:val="28"/>
              </w:rPr>
            </w:pPr>
            <w:r>
              <w:rPr>
                <w:rFonts w:hint="eastAsia" w:ascii="宋体" w:eastAsia="宋体" w:cs="Arial"/>
                <w:kern w:val="0"/>
                <w:sz w:val="28"/>
                <w:szCs w:val="28"/>
                <w:lang w:bidi="ar-SA"/>
              </w:rPr>
              <w:t>人员配备（人）</w:t>
            </w:r>
          </w:p>
        </w:tc>
        <w:tc>
          <w:tcPr>
            <w:tcW w:w="3289" w:type="dxa"/>
            <w:vMerge w:val="restart"/>
            <w:tcBorders>
              <w:top w:val="single" w:color="auto" w:sz="12" w:space="0"/>
              <w:left w:val="single" w:color="auto" w:sz="2" w:space="0"/>
              <w:right w:val="single" w:color="auto" w:sz="1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51" w:hRule="atLeast"/>
        </w:trPr>
        <w:tc>
          <w:tcPr>
            <w:tcW w:w="1098" w:type="dxa"/>
            <w:vMerge w:val="continue"/>
            <w:tcBorders>
              <w:left w:val="single" w:color="auto" w:sz="12" w:space="0"/>
            </w:tcBorders>
            <w:vAlign w:val="top"/>
          </w:tcPr>
          <w:p/>
        </w:tc>
        <w:tc>
          <w:tcPr>
            <w:tcW w:w="2487" w:type="dxa"/>
            <w:vMerge w:val="continue"/>
            <w:vAlign w:val="top"/>
          </w:tcPr>
          <w:p/>
        </w:tc>
        <w:tc>
          <w:tcPr>
            <w:tcW w:w="795" w:type="dxa"/>
            <w:tcBorders>
              <w:top w:val="single" w:color="auto" w:sz="2" w:space="0"/>
              <w:right w:val="single" w:color="auto" w:sz="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基础</w:t>
            </w:r>
          </w:p>
        </w:tc>
        <w:tc>
          <w:tcPr>
            <w:tcW w:w="795" w:type="dxa"/>
            <w:tcBorders>
              <w:top w:val="single" w:color="auto" w:sz="2" w:space="0"/>
              <w:left w:val="single" w:color="auto" w:sz="2" w:space="0"/>
              <w:right w:val="single" w:color="auto" w:sz="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主体</w:t>
            </w:r>
          </w:p>
        </w:tc>
        <w:tc>
          <w:tcPr>
            <w:tcW w:w="823" w:type="dxa"/>
            <w:tcBorders>
              <w:top w:val="single" w:color="auto" w:sz="2" w:space="0"/>
              <w:left w:val="single" w:color="auto" w:sz="2" w:space="0"/>
              <w:right w:val="single" w:color="auto" w:sz="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安装</w:t>
            </w:r>
          </w:p>
        </w:tc>
        <w:tc>
          <w:tcPr>
            <w:tcW w:w="3289" w:type="dxa"/>
            <w:vMerge w:val="continue"/>
            <w:tcBorders>
              <w:left w:val="single" w:color="auto" w:sz="2"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1098" w:type="dxa"/>
            <w:vMerge w:val="restart"/>
            <w:tcBorders>
              <w:left w:val="single" w:color="auto" w:sz="12" w:space="0"/>
            </w:tcBorders>
            <w:vAlign w:val="center"/>
          </w:tcPr>
          <w:p>
            <w:pPr>
              <w:jc w:val="center"/>
              <w:rPr>
                <w:rFonts w:hint="eastAsia" w:ascii="宋体" w:eastAsia="宋体" w:cs="Arial"/>
                <w:kern w:val="0"/>
                <w:sz w:val="28"/>
                <w:szCs w:val="28"/>
                <w:lang w:bidi="ar-SA"/>
              </w:rPr>
            </w:pPr>
            <w:r>
              <w:rPr>
                <w:rFonts w:hint="eastAsia" w:ascii="宋体" w:eastAsia="宋体" w:cs="Arial"/>
                <w:kern w:val="0"/>
                <w:sz w:val="28"/>
                <w:szCs w:val="28"/>
                <w:lang w:bidi="ar-SA"/>
              </w:rPr>
              <w:t>坑地道</w:t>
            </w:r>
          </w:p>
        </w:tc>
        <w:tc>
          <w:tcPr>
            <w:tcW w:w="2487" w:type="dxa"/>
            <w:vAlign w:val="center"/>
          </w:tcPr>
          <w:p>
            <w:pPr>
              <w:jc w:val="center"/>
              <w:rPr>
                <w:rFonts w:hint="eastAsia" w:ascii="宋体" w:eastAsia="宋体"/>
                <w:sz w:val="28"/>
                <w:szCs w:val="28"/>
              </w:rPr>
            </w:pPr>
            <w:r>
              <w:rPr>
                <w:rFonts w:hint="eastAsia" w:ascii="宋体" w:eastAsia="宋体" w:cs="Arial"/>
                <w:kern w:val="0"/>
                <w:sz w:val="28"/>
                <w:szCs w:val="28"/>
                <w:lang w:bidi="ar-SA"/>
              </w:rPr>
              <w:t>5000m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以下</w:t>
            </w:r>
          </w:p>
        </w:tc>
        <w:tc>
          <w:tcPr>
            <w:tcW w:w="795" w:type="dxa"/>
            <w:tcBorders>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795"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4</w:t>
            </w:r>
          </w:p>
        </w:tc>
        <w:tc>
          <w:tcPr>
            <w:tcW w:w="823"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3289" w:type="dxa"/>
            <w:vMerge w:val="restart"/>
            <w:tcBorders>
              <w:left w:val="single" w:color="auto" w:sz="2" w:space="0"/>
              <w:right w:val="single" w:color="auto" w:sz="12" w:space="0"/>
            </w:tcBorders>
            <w:vAlign w:val="center"/>
          </w:tcPr>
          <w:p>
            <w:pPr>
              <w:rPr>
                <w:rFonts w:hint="eastAsia" w:ascii="宋体" w:eastAsia="宋体"/>
                <w:sz w:val="28"/>
                <w:szCs w:val="28"/>
              </w:rPr>
            </w:pPr>
            <w:r>
              <w:rPr>
                <w:rFonts w:hint="eastAsia" w:ascii="宋体" w:eastAsia="宋体" w:cs="Arial"/>
                <w:kern w:val="0"/>
                <w:sz w:val="28"/>
                <w:szCs w:val="28"/>
                <w:lang w:bidi="ar-SA"/>
              </w:rPr>
              <w:t>规模在20000m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以上，建筑面积每增加10000m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，各施工阶段均增加监理人员1人。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1098" w:type="dxa"/>
            <w:vMerge w:val="continue"/>
            <w:tcBorders>
              <w:left w:val="single" w:color="auto" w:sz="12" w:space="0"/>
            </w:tcBorders>
            <w:vAlign w:val="center"/>
          </w:tcPr>
          <w:p/>
        </w:tc>
        <w:tc>
          <w:tcPr>
            <w:tcW w:w="2487" w:type="dxa"/>
            <w:vAlign w:val="center"/>
          </w:tcPr>
          <w:p>
            <w:pPr>
              <w:jc w:val="center"/>
              <w:rPr>
                <w:rFonts w:hint="eastAsia" w:ascii="宋体" w:eastAsia="宋体"/>
                <w:sz w:val="28"/>
                <w:szCs w:val="28"/>
              </w:rPr>
            </w:pPr>
            <w:r>
              <w:rPr>
                <w:rFonts w:hint="eastAsia" w:ascii="宋体" w:eastAsia="宋体" w:cs="Arial"/>
                <w:kern w:val="0"/>
                <w:sz w:val="28"/>
                <w:szCs w:val="28"/>
                <w:lang w:bidi="ar-SA"/>
              </w:rPr>
              <w:t>5000m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～20000m</w:t>
            </w:r>
            <w:r>
              <w:rPr>
                <w:rFonts w:hint="eastAsia" w:ascii="宋体" w:eastAsia="宋体" w:cs="Arial"/>
                <w:kern w:val="0"/>
                <w:sz w:val="28"/>
                <w:szCs w:val="28"/>
                <w:vertAlign w:val="superscript"/>
                <w:lang w:bidi="ar-SA"/>
              </w:rPr>
              <w:t>2</w:t>
            </w:r>
          </w:p>
        </w:tc>
        <w:tc>
          <w:tcPr>
            <w:tcW w:w="795" w:type="dxa"/>
            <w:tcBorders>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795"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5</w:t>
            </w:r>
          </w:p>
        </w:tc>
        <w:tc>
          <w:tcPr>
            <w:tcW w:w="823"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3289" w:type="dxa"/>
            <w:vMerge w:val="continue"/>
            <w:tcBorders>
              <w:left w:val="single" w:color="auto" w:sz="2"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1098" w:type="dxa"/>
            <w:vMerge w:val="continue"/>
            <w:tcBorders>
              <w:left w:val="single" w:color="auto" w:sz="12" w:space="0"/>
            </w:tcBorders>
            <w:vAlign w:val="center"/>
          </w:tcPr>
          <w:p/>
        </w:tc>
        <w:tc>
          <w:tcPr>
            <w:tcW w:w="2487" w:type="dxa"/>
            <w:vAlign w:val="center"/>
          </w:tcPr>
          <w:p>
            <w:pPr>
              <w:jc w:val="center"/>
              <w:rPr>
                <w:rFonts w:hint="eastAsia" w:ascii="宋体" w:eastAsia="宋体"/>
                <w:sz w:val="28"/>
                <w:szCs w:val="28"/>
              </w:rPr>
            </w:pPr>
            <w:r>
              <w:rPr>
                <w:rFonts w:hint="eastAsia" w:ascii="宋体" w:eastAsia="宋体" w:cs="Arial"/>
                <w:kern w:val="0"/>
                <w:sz w:val="28"/>
                <w:szCs w:val="28"/>
                <w:lang w:bidi="ar-SA"/>
              </w:rPr>
              <w:t>20000m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以上</w:t>
            </w:r>
          </w:p>
        </w:tc>
        <w:tc>
          <w:tcPr>
            <w:tcW w:w="795" w:type="dxa"/>
            <w:tcBorders>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4</w:t>
            </w:r>
          </w:p>
        </w:tc>
        <w:tc>
          <w:tcPr>
            <w:tcW w:w="795"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6</w:t>
            </w:r>
          </w:p>
        </w:tc>
        <w:tc>
          <w:tcPr>
            <w:tcW w:w="823"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4</w:t>
            </w:r>
          </w:p>
        </w:tc>
        <w:tc>
          <w:tcPr>
            <w:tcW w:w="3289" w:type="dxa"/>
            <w:vMerge w:val="continue"/>
            <w:tcBorders>
              <w:left w:val="single" w:color="auto" w:sz="2"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1098" w:type="dxa"/>
            <w:vMerge w:val="restart"/>
            <w:tcBorders>
              <w:left w:val="single" w:color="auto" w:sz="1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掘开式</w:t>
            </w:r>
          </w:p>
        </w:tc>
        <w:tc>
          <w:tcPr>
            <w:tcW w:w="2487" w:type="dxa"/>
            <w:vAlign w:val="center"/>
          </w:tcPr>
          <w:p>
            <w:pPr>
              <w:jc w:val="center"/>
              <w:rPr>
                <w:rFonts w:hint="eastAsia" w:ascii="宋体" w:eastAsia="宋体"/>
                <w:sz w:val="28"/>
                <w:szCs w:val="28"/>
              </w:rPr>
            </w:pPr>
            <w:r>
              <w:rPr>
                <w:rFonts w:hint="eastAsia" w:ascii="宋体" w:eastAsia="宋体" w:cs="Arial"/>
                <w:kern w:val="0"/>
                <w:sz w:val="28"/>
                <w:szCs w:val="28"/>
                <w:lang w:bidi="ar-SA"/>
              </w:rPr>
              <w:t>10000m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以下</w:t>
            </w:r>
          </w:p>
        </w:tc>
        <w:tc>
          <w:tcPr>
            <w:tcW w:w="795" w:type="dxa"/>
            <w:tcBorders>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795"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4</w:t>
            </w:r>
          </w:p>
        </w:tc>
        <w:tc>
          <w:tcPr>
            <w:tcW w:w="823"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3289" w:type="dxa"/>
            <w:vMerge w:val="restart"/>
            <w:tcBorders>
              <w:left w:val="single" w:color="auto" w:sz="2" w:space="0"/>
              <w:right w:val="single" w:color="auto" w:sz="12" w:space="0"/>
            </w:tcBorders>
            <w:vAlign w:val="center"/>
          </w:tcPr>
          <w:p>
            <w:pPr>
              <w:rPr>
                <w:rFonts w:hint="eastAsia" w:ascii="宋体" w:eastAsia="宋体"/>
                <w:sz w:val="28"/>
                <w:szCs w:val="28"/>
              </w:rPr>
            </w:pPr>
            <w:r>
              <w:rPr>
                <w:rFonts w:hint="eastAsia" w:ascii="宋体" w:eastAsia="宋体" w:cs="Arial"/>
                <w:kern w:val="0"/>
                <w:sz w:val="28"/>
                <w:szCs w:val="28"/>
                <w:lang w:bidi="ar-SA"/>
              </w:rPr>
              <w:t>规模在30000m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以上，建筑面积每增加20000m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，各施工阶段均增加监理人员1人。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34" w:hRule="atLeast"/>
        </w:trPr>
        <w:tc>
          <w:tcPr>
            <w:tcW w:w="1098" w:type="dxa"/>
            <w:vMerge w:val="continue"/>
            <w:tcBorders>
              <w:left w:val="single" w:color="auto" w:sz="12" w:space="0"/>
            </w:tcBorders>
            <w:vAlign w:val="top"/>
          </w:tcPr>
          <w:p/>
        </w:tc>
        <w:tc>
          <w:tcPr>
            <w:tcW w:w="2487" w:type="dxa"/>
            <w:vAlign w:val="center"/>
          </w:tcPr>
          <w:p>
            <w:pPr>
              <w:jc w:val="center"/>
              <w:rPr>
                <w:rFonts w:hint="eastAsia" w:ascii="宋体" w:eastAsia="宋体"/>
                <w:sz w:val="28"/>
                <w:szCs w:val="28"/>
              </w:rPr>
            </w:pPr>
            <w:r>
              <w:rPr>
                <w:rFonts w:hint="eastAsia" w:ascii="宋体" w:eastAsia="宋体" w:cs="Arial"/>
                <w:kern w:val="0"/>
                <w:sz w:val="28"/>
                <w:szCs w:val="28"/>
                <w:lang w:bidi="ar-SA"/>
              </w:rPr>
              <w:t>10000m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～30000m</w:t>
            </w:r>
            <w:r>
              <w:rPr>
                <w:rFonts w:hint="eastAsia" w:ascii="宋体" w:eastAsia="宋体" w:cs="Arial"/>
                <w:kern w:val="0"/>
                <w:sz w:val="28"/>
                <w:szCs w:val="28"/>
                <w:vertAlign w:val="superscript"/>
                <w:lang w:bidi="ar-SA"/>
              </w:rPr>
              <w:t>2</w:t>
            </w:r>
          </w:p>
        </w:tc>
        <w:tc>
          <w:tcPr>
            <w:tcW w:w="795" w:type="dxa"/>
            <w:tcBorders>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795"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5</w:t>
            </w:r>
          </w:p>
        </w:tc>
        <w:tc>
          <w:tcPr>
            <w:tcW w:w="823" w:type="dxa"/>
            <w:tcBorders>
              <w:left w:val="single" w:color="auto" w:sz="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3</w:t>
            </w:r>
          </w:p>
        </w:tc>
        <w:tc>
          <w:tcPr>
            <w:tcW w:w="3289" w:type="dxa"/>
            <w:vMerge w:val="continue"/>
            <w:tcBorders>
              <w:left w:val="single" w:color="auto" w:sz="2" w:space="0"/>
              <w:right w:val="single" w:color="auto" w:sz="12" w:space="0"/>
            </w:tcBorders>
            <w:vAlign w:val="top"/>
          </w:tc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9" w:hRule="atLeast"/>
        </w:trPr>
        <w:tc>
          <w:tcPr>
            <w:tcW w:w="1098" w:type="dxa"/>
            <w:vMerge w:val="continue"/>
            <w:tcBorders>
              <w:left w:val="single" w:color="auto" w:sz="12" w:space="0"/>
              <w:bottom w:val="single" w:color="auto" w:sz="12" w:space="0"/>
            </w:tcBorders>
            <w:vAlign w:val="top"/>
          </w:tcPr>
          <w:p/>
        </w:tc>
        <w:tc>
          <w:tcPr>
            <w:tcW w:w="2487" w:type="dxa"/>
            <w:tcBorders>
              <w:bottom w:val="single" w:color="auto" w:sz="12" w:space="0"/>
            </w:tcBorders>
            <w:vAlign w:val="center"/>
          </w:tcPr>
          <w:p>
            <w:pPr>
              <w:jc w:val="center"/>
              <w:rPr>
                <w:rFonts w:hint="eastAsia" w:ascii="宋体" w:eastAsia="宋体"/>
                <w:sz w:val="28"/>
                <w:szCs w:val="28"/>
              </w:rPr>
            </w:pPr>
            <w:r>
              <w:rPr>
                <w:rFonts w:hint="eastAsia" w:ascii="宋体" w:eastAsia="宋体" w:cs="Arial"/>
                <w:kern w:val="0"/>
                <w:sz w:val="28"/>
                <w:szCs w:val="28"/>
                <w:lang w:bidi="ar-SA"/>
              </w:rPr>
              <w:t>30000m</w:t>
            </w:r>
            <w:r>
              <w:rPr>
                <w:rFonts w:hint="eastAsia" w:ascii="宋体" w:eastAsia="宋体" w:cs="Arial"/>
                <w:kern w:val="0"/>
                <w:sz w:val="28"/>
                <w:szCs w:val="28"/>
                <w:vertAlign w:val="superscript"/>
                <w:lang w:bidi="ar-SA"/>
              </w:rPr>
              <w:t>2</w:t>
            </w:r>
            <w:r>
              <w:rPr>
                <w:rFonts w:hint="eastAsia" w:ascii="宋体" w:eastAsia="宋体" w:cs="Arial"/>
                <w:kern w:val="0"/>
                <w:sz w:val="28"/>
                <w:szCs w:val="28"/>
                <w:lang w:bidi="ar-SA"/>
              </w:rPr>
              <w:t>以上</w:t>
            </w:r>
          </w:p>
        </w:tc>
        <w:tc>
          <w:tcPr>
            <w:tcW w:w="795" w:type="dxa"/>
            <w:tcBorders>
              <w:bottom w:val="single" w:color="auto" w:sz="1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4</w:t>
            </w:r>
          </w:p>
        </w:tc>
        <w:tc>
          <w:tcPr>
            <w:tcW w:w="795" w:type="dxa"/>
            <w:tcBorders>
              <w:left w:val="single" w:color="auto" w:sz="2" w:space="0"/>
              <w:bottom w:val="single" w:color="auto" w:sz="1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6</w:t>
            </w:r>
          </w:p>
        </w:tc>
        <w:tc>
          <w:tcPr>
            <w:tcW w:w="823" w:type="dxa"/>
            <w:tcBorders>
              <w:left w:val="single" w:color="auto" w:sz="2" w:space="0"/>
              <w:bottom w:val="single" w:color="auto" w:sz="12" w:space="0"/>
              <w:right w:val="single" w:color="auto" w:sz="2" w:space="0"/>
            </w:tcBorders>
            <w:vAlign w:val="center"/>
          </w:tcPr>
          <w:p>
            <w:pPr>
              <w:widowControl/>
              <w:jc w:val="center"/>
              <w:rPr>
                <w:rFonts w:hint="eastAsia" w:ascii="宋体" w:eastAsia="宋体" w:cs="Arial"/>
                <w:kern w:val="0"/>
                <w:sz w:val="28"/>
                <w:szCs w:val="28"/>
                <w:lang w:bidi="ar-SA"/>
              </w:rPr>
            </w:pPr>
            <w:r>
              <w:rPr>
                <w:rFonts w:hint="eastAsia" w:ascii="宋体" w:eastAsia="宋体" w:cs="Arial"/>
                <w:kern w:val="0"/>
                <w:sz w:val="28"/>
                <w:szCs w:val="28"/>
                <w:lang w:bidi="ar-SA"/>
              </w:rPr>
              <w:t>4</w:t>
            </w:r>
          </w:p>
        </w:tc>
        <w:tc>
          <w:tcPr>
            <w:tcW w:w="3289" w:type="dxa"/>
            <w:vMerge w:val="continue"/>
            <w:tcBorders>
              <w:left w:val="single" w:color="auto" w:sz="2" w:space="0"/>
              <w:bottom w:val="single" w:color="auto" w:sz="12" w:space="0"/>
              <w:right w:val="single" w:color="auto" w:sz="12" w:space="0"/>
            </w:tcBorders>
            <w:vAlign w:val="top"/>
          </w:tcPr>
          <w:p/>
        </w:tc>
      </w:tr>
    </w:tbl>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hint="eastAsia"/>
          <w:sz w:val="28"/>
          <w:szCs w:val="28"/>
          <w:lang w:eastAsia="zh-CN"/>
        </w:rPr>
      </w:pPr>
      <w:r>
        <w:rPr>
          <w:rFonts w:hint="eastAsia"/>
          <w:sz w:val="28"/>
          <w:szCs w:val="28"/>
        </w:rPr>
        <w:t>注：</w:t>
      </w:r>
      <w:r>
        <w:rPr>
          <w:rFonts w:hint="eastAsia"/>
          <w:sz w:val="28"/>
          <w:szCs w:val="28"/>
          <w:lang w:val="en-US" w:eastAsia="zh-CN"/>
        </w:rPr>
        <w:t>1.</w:t>
      </w:r>
      <w:r>
        <w:rPr>
          <w:rFonts w:hint="eastAsia"/>
          <w:sz w:val="28"/>
          <w:szCs w:val="28"/>
        </w:rPr>
        <w:t>主体、基础工程施工阶段，监理人员以土建专业为主；安装工程施工阶段，监理人员以安装专业为主</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56" w:firstLineChars="200"/>
        <w:jc w:val="left"/>
        <w:textAlignment w:val="auto"/>
        <w:outlineLvl w:val="9"/>
        <w:rPr>
          <w:rFonts w:hint="eastAsia"/>
          <w:sz w:val="28"/>
          <w:szCs w:val="28"/>
          <w:lang w:val="en-US" w:eastAsia="zh-CN"/>
        </w:rPr>
      </w:pPr>
      <w:r>
        <w:rPr>
          <w:rFonts w:hint="eastAsia"/>
          <w:sz w:val="28"/>
          <w:szCs w:val="28"/>
          <w:lang w:val="en-US" w:eastAsia="zh-CN"/>
        </w:rPr>
        <w:t>2.经建设单位书面同意，总监理工程师在同一设区市（含平潭综合实验区）最多可在三个在建人防工程项目上从业；</w:t>
      </w:r>
    </w:p>
    <w:p>
      <w:pPr>
        <w:spacing w:line="440" w:lineRule="exact"/>
        <w:ind w:firstLine="556" w:firstLineChars="200"/>
        <w:jc w:val="left"/>
        <w:rPr>
          <w:rFonts w:hint="eastAsia" w:ascii="Times New Roman" w:hAnsi="Times New Roman" w:eastAsia="仿宋_GB2312" w:cs="Times New Roman"/>
          <w:kern w:val="2"/>
          <w:sz w:val="32"/>
          <w:szCs w:val="24"/>
          <w:lang w:bidi="ar-SA"/>
        </w:rPr>
      </w:pPr>
      <w:r>
        <w:rPr>
          <w:rFonts w:hint="eastAsia"/>
          <w:sz w:val="28"/>
          <w:szCs w:val="28"/>
          <w:lang w:val="en-US" w:eastAsia="zh-CN"/>
        </w:rPr>
        <w:t>3.总监理工程师代表、土建专业监理工程师、监理员只能在一个在建人防工程项目上从业，安装专业监理工程师在同一设区市（含平潭综合实验区）最多可在三个在建人防工程项目上从业，项目部监理管理人员不得在同一项目或其他在建项目中兼职。</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361" w:bottom="1417" w:left="1644" w:header="0" w:footer="1134" w:gutter="0"/>
      <w:pgNumType w:fmt="numberInDash"/>
      <w:cols w:space="720" w:num="1"/>
      <w:titlePg/>
      <w:docGrid w:type="linesAndChars" w:linePitch="623" w:charSpace="-43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A91VMLxQEAAG0DAAAOAAAAAAAAAAEAIAAAACIBAABkcnMvZTJvRG9j&#10;LnhtbFBLBQYAAAAABgAGAFkBAABZBQAAAAA=&#10;">
              <v:fill on="f" focussize="0,0"/>
              <v:stroke on="f" weight="1.25pt"/>
              <v:imagedata o:title=""/>
              <o:lock v:ext="edit" aspectratio="f"/>
              <v:textbox inset="0mm,0mm,0mm,0mm" style="mso-fit-shape-to-text:t;">
                <w:txbxContent>
                  <w:p>
                    <w:pPr>
                      <w:pStyle w:val="6"/>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u/4//sYBAABtAwAADgAAAAAAAAABACAAAAAiAQAAZHJzL2Uyb0Rv&#10;Yy54bWxQSwUGAAAAAAYABgBZAQAAWgUAAAAA&#10;">
              <v:fill on="f" focussize="0,0"/>
              <v:stroke on="f" weight="1.25pt"/>
              <v:imagedata o:title=""/>
              <o:lock v:ext="edit" aspectratio="f"/>
              <v:textbox inset="0mm,0mm,0mm,0mm" style="mso-fit-shape-to-text:t;">
                <w:txbxContent>
                  <w:p>
                    <w:pPr>
                      <w:pStyle w:val="6"/>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oaYJL0wAAAAUBAAAPAAAAAAAAAAEAIAAAACIAAABkcnMvZG93bnJldi54&#10;bWxQSwECFAAUAAAACACHTuJABhrLG8YBAABtAwAADgAAAAAAAAABACAAAAAiAQAAZHJzL2Uyb0Rv&#10;Yy54bWxQSwUGAAAAAAYABgBZAQAAWgUAAAAA&#10;">
              <v:fill on="f" focussize="0,0"/>
              <v:stroke on="f" weight="1.25pt"/>
              <v:imagedata o:title=""/>
              <o:lock v:ext="edit" aspectratio="f"/>
              <v:textbox inset="0mm,0mm,0mm,0mm" style="mso-fit-shape-to-text:t;">
                <w:txbxContent>
                  <w:p>
                    <w:pPr>
                      <w:pStyle w:val="6"/>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59"/>
  <w:drawingGridVerticalSpacing w:val="623"/>
  <w:displayHorizontalDrawingGridEvery w:val="0"/>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ProcessingDocument" w:val="-1"/>
  </w:docVars>
  <w:rsids>
    <w:rsidRoot w:val="00490A76"/>
    <w:rsid w:val="04B17D1E"/>
    <w:rsid w:val="07780243"/>
    <w:rsid w:val="09094FE8"/>
    <w:rsid w:val="0C5B0D9A"/>
    <w:rsid w:val="106057CF"/>
    <w:rsid w:val="11640539"/>
    <w:rsid w:val="13722A60"/>
    <w:rsid w:val="143B218F"/>
    <w:rsid w:val="189D4FBC"/>
    <w:rsid w:val="1A942647"/>
    <w:rsid w:val="1A953305"/>
    <w:rsid w:val="1B4A505B"/>
    <w:rsid w:val="1BC3461D"/>
    <w:rsid w:val="1E3948F4"/>
    <w:rsid w:val="1FE25990"/>
    <w:rsid w:val="200E4DCF"/>
    <w:rsid w:val="21CF6959"/>
    <w:rsid w:val="224B2A6F"/>
    <w:rsid w:val="26F9382E"/>
    <w:rsid w:val="28B732F7"/>
    <w:rsid w:val="2C6B36C8"/>
    <w:rsid w:val="2EFD6555"/>
    <w:rsid w:val="34F5270D"/>
    <w:rsid w:val="368E1627"/>
    <w:rsid w:val="37940EC8"/>
    <w:rsid w:val="3AB96EC5"/>
    <w:rsid w:val="43CC1F4B"/>
    <w:rsid w:val="4BA35ED1"/>
    <w:rsid w:val="4C2710A3"/>
    <w:rsid w:val="524118AC"/>
    <w:rsid w:val="56DE47C3"/>
    <w:rsid w:val="5D2C1148"/>
    <w:rsid w:val="5E6136E9"/>
    <w:rsid w:val="5F4A08FD"/>
    <w:rsid w:val="62D3662E"/>
    <w:rsid w:val="630E5581"/>
    <w:rsid w:val="6AC45E11"/>
    <w:rsid w:val="6E713965"/>
    <w:rsid w:val="75D57F9F"/>
    <w:rsid w:val="79911578"/>
    <w:rsid w:val="7D773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uiPriority w:val="0"/>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Document Map"/>
    <w:basedOn w:val="1"/>
    <w:uiPriority w:val="0"/>
    <w:rPr>
      <w:rFonts w:ascii="宋体" w:eastAsia="宋体"/>
      <w:sz w:val="18"/>
      <w:szCs w:val="18"/>
    </w:rPr>
  </w:style>
  <w:style w:type="paragraph" w:styleId="3">
    <w:name w:val="Body Text"/>
    <w:basedOn w:val="1"/>
    <w:qFormat/>
    <w:uiPriority w:val="0"/>
    <w:pPr>
      <w:jc w:val="center"/>
    </w:pPr>
    <w:rPr>
      <w:rFonts w:eastAsia="宋体"/>
      <w:b/>
      <w:color w:val="FF0000"/>
      <w:w w:val="150"/>
      <w:kern w:val="44"/>
      <w:position w:val="-6"/>
      <w:sz w:val="84"/>
      <w:szCs w:val="72"/>
    </w:rPr>
  </w:style>
  <w:style w:type="paragraph" w:styleId="4">
    <w:name w:val="Date"/>
    <w:basedOn w:val="1"/>
    <w:next w:val="1"/>
    <w:uiPriority w:val="0"/>
    <w:rPr>
      <w:rFonts w:ascii="仿宋_GB2312"/>
    </w:rPr>
  </w:style>
  <w:style w:type="paragraph" w:styleId="5">
    <w:name w:val="Balloon Text"/>
    <w:basedOn w:val="1"/>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22"/>
    <w:rPr>
      <w:b/>
      <w:bCs/>
    </w:rPr>
  </w:style>
  <w:style w:type="character" w:styleId="10">
    <w:name w:val="page number"/>
    <w:basedOn w:val="8"/>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 </Company>
  <Pages>0</Pages>
  <Words>0</Words>
  <Characters>0</Characters>
  <Lines>0</Lines>
  <Paragraphs>0</Paragraphs>
  <TotalTime>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2008-04-16T02:41:00Z</dcterms:created>
  <dc:creator>hwenfeng</dc:creator>
  <cp:lastModifiedBy>陈晓翔/综合处</cp:lastModifiedBy>
  <cp:lastPrinted>2020-12-24T08:47:00Z</cp:lastPrinted>
  <dcterms:modified xsi:type="dcterms:W3CDTF">2021-05-17T02:30:01Z</dcterms:modified>
  <cp:revision>177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